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69" w:rsidRDefault="00BC0C69" w:rsidP="00BC0C69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noProof/>
        </w:rPr>
        <w:drawing>
          <wp:inline distT="0" distB="0" distL="0" distR="0" wp14:anchorId="1933AF8A" wp14:editId="6EE203F7">
            <wp:extent cx="276225" cy="247650"/>
            <wp:effectExtent l="0" t="0" r="9525" b="0"/>
            <wp:docPr id="20" name="Рисунок 20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0B">
        <w:rPr>
          <w:rFonts w:ascii="Times New Roman" w:eastAsia="Times New Roman" w:hAnsi="Times New Roman" w:cs="Times New Roman"/>
          <w:b/>
        </w:rPr>
        <w:t>Банк «Нальчик» ООО</w:t>
      </w:r>
    </w:p>
    <w:p w:rsidR="00BC0C69" w:rsidRDefault="00BC0C69" w:rsidP="00BC0C6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 в Банке «Нальчик» ООО</w:t>
      </w:r>
      <w:bookmarkStart w:id="0" w:name="_GoBack"/>
      <w:bookmarkEnd w:id="0"/>
    </w:p>
    <w:p w:rsidR="00BC0C69" w:rsidRPr="00BC0C69" w:rsidRDefault="00BC0C69" w:rsidP="00BC0C69">
      <w:pPr>
        <w:spacing w:before="12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C0C69">
        <w:rPr>
          <w:rFonts w:ascii="Times New Roman" w:hAnsi="Times New Roman" w:cs="Times New Roman"/>
          <w:b/>
          <w:sz w:val="18"/>
          <w:szCs w:val="18"/>
        </w:rPr>
        <w:t>(Дата ввода в действие с 14.02.2024)</w:t>
      </w:r>
    </w:p>
    <w:tbl>
      <w:tblPr>
        <w:tblpPr w:leftFromText="180" w:rightFromText="180" w:vertAnchor="text" w:tblpY="1"/>
        <w:tblOverlap w:val="never"/>
        <w:tblW w:w="148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76"/>
      </w:tblGrid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BC0C69" w:rsidRPr="00BA632A" w:rsidTr="008631AE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BC0C69" w:rsidRPr="00BA632A" w:rsidTr="008631AE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9" w:history="1">
                    <w:r w:rsidRPr="00BA632A">
                      <w:rPr>
                        <w:rStyle w:val="a5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</w:tr>
      <w:tr w:rsidR="00BC0C69" w:rsidRPr="00BA632A" w:rsidTr="008631AE">
        <w:trPr>
          <w:trHeight w:val="869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BC0C69" w:rsidRPr="00BA632A" w:rsidTr="008631AE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line="105" w:lineRule="atLeast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BC0C69" w:rsidRPr="00BA632A" w:rsidTr="008631AE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заявления о предоставлении потребительского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документов.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BC0C69" w:rsidRPr="00BA632A" w:rsidRDefault="00BC0C69" w:rsidP="00BC0C6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BC0C69" w:rsidRPr="00BA632A" w:rsidRDefault="00BC0C69" w:rsidP="00BC0C6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BC0C69" w:rsidRPr="00BA632A" w:rsidRDefault="00BC0C69" w:rsidP="00BC0C6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BC0C69" w:rsidRPr="00BA632A" w:rsidRDefault="00BC0C69" w:rsidP="00BC0C6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BC0C69" w:rsidRPr="00BA632A" w:rsidRDefault="00BC0C69" w:rsidP="00BC0C69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заемщика.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ind w:left="720"/>
              <w:jc w:val="both"/>
            </w:pP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«Зарплатный»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«Пенсионный»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BC0C69" w:rsidRPr="00BA632A" w:rsidTr="008631AE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sz w:val="20"/>
                      <w:szCs w:val="20"/>
                    </w:rPr>
                    <w:t>+ 2 %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+ 2 %</w:t>
                  </w:r>
                </w:p>
              </w:tc>
            </w:tr>
          </w:tbl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BC0C69" w:rsidRPr="00BA632A" w:rsidTr="008631AE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  <w:r>
              <w:rPr>
                <w:color w:val="000000"/>
                <w:sz w:val="20"/>
                <w:szCs w:val="20"/>
              </w:rPr>
              <w:t>/</w:t>
            </w:r>
          </w:p>
          <w:p w:rsidR="00BC0C69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услуг нотариуса </w:t>
            </w:r>
            <w:proofErr w:type="gramStart"/>
            <w:r>
              <w:rPr>
                <w:color w:val="000000"/>
                <w:sz w:val="20"/>
                <w:szCs w:val="20"/>
              </w:rPr>
              <w:t>по регистрации залога в реестре уведомлений о залоге движимого имущества в соответствии с его тарифами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BC0C69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Оплата услуг нотариуса  по удостоверению согласия супруг</w:t>
            </w:r>
            <w:proofErr w:type="gramStart"/>
            <w:r>
              <w:rPr>
                <w:color w:val="000000"/>
                <w:sz w:val="20"/>
                <w:szCs w:val="20"/>
              </w:rPr>
              <w:t>а(</w:t>
            </w:r>
            <w:proofErr w:type="gramEnd"/>
            <w:r>
              <w:rPr>
                <w:color w:val="000000"/>
                <w:sz w:val="20"/>
                <w:szCs w:val="20"/>
              </w:rPr>
              <w:t>и) на залог  имущества в соответствии с его тарифами.</w:t>
            </w:r>
          </w:p>
          <w:p w:rsidR="00BC0C69" w:rsidRDefault="00BC0C69" w:rsidP="008631AE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Оценка независимого оценщика предмета залога в соответствии с его тарифами.</w:t>
            </w:r>
          </w:p>
          <w:p w:rsidR="00BC0C69" w:rsidRPr="00BA632A" w:rsidRDefault="00BC0C69" w:rsidP="008631AE">
            <w:pPr>
              <w:spacing w:after="0" w:line="240" w:lineRule="auto"/>
              <w:jc w:val="both"/>
            </w:pP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BC0C69" w:rsidRPr="00BA632A" w:rsidTr="008631AE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7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</w:rPr>
                    <w:t>24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«Зарплатный»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</w:rPr>
                    <w:t>21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9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5</w:t>
                  </w:r>
                  <w:r w:rsidRPr="00BA632A">
                    <w:rPr>
                      <w:color w:val="000000"/>
                      <w:sz w:val="20"/>
                      <w:szCs w:val="20"/>
                      <w:lang w:val="en-US"/>
                    </w:rPr>
                    <w:t>,7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 - </w:t>
                  </w:r>
                  <w:r>
                    <w:rPr>
                      <w:color w:val="000000"/>
                      <w:sz w:val="20"/>
                      <w:szCs w:val="20"/>
                    </w:rPr>
                    <w:t>22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BC0C69" w:rsidRPr="00BA632A" w:rsidRDefault="00BC0C69" w:rsidP="008631AE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</w:t>
            </w:r>
            <w:proofErr w:type="gramStart"/>
            <w:r w:rsidRPr="00BA632A">
              <w:rPr>
                <w:sz w:val="20"/>
                <w:szCs w:val="20"/>
              </w:rPr>
              <w:t>а–</w:t>
            </w:r>
            <w:proofErr w:type="gramEnd"/>
            <w:r w:rsidRPr="00BA632A">
              <w:rPr>
                <w:sz w:val="20"/>
                <w:szCs w:val="20"/>
              </w:rPr>
              <w:t xml:space="preserve"> бесплатный способ;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с помощью Платежной системы </w:t>
            </w:r>
            <w:r w:rsidRPr="00BA632A">
              <w:rPr>
                <w:sz w:val="20"/>
                <w:szCs w:val="20"/>
                <w:lang w:val="en-US"/>
              </w:rPr>
              <w:t>CONTACT</w:t>
            </w:r>
            <w:r w:rsidRPr="00BA632A">
              <w:rPr>
                <w:sz w:val="20"/>
                <w:szCs w:val="20"/>
              </w:rPr>
              <w:t>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BC0C69" w:rsidRPr="00BA632A" w:rsidRDefault="00BC0C69" w:rsidP="008631AE">
            <w:pPr>
              <w:pStyle w:val="a4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352"/>
              <w:gridCol w:w="5168"/>
            </w:tblGrid>
            <w:tr w:rsidR="00BC0C69" w:rsidRPr="00BA632A" w:rsidTr="008631AE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«Зарплатный»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C0C69" w:rsidRPr="00BA632A" w:rsidTr="008631AE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uppressOverlap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</w:tr>
      <w:tr w:rsidR="00BC0C69" w:rsidRPr="00BA632A" w:rsidTr="008631AE">
        <w:trPr>
          <w:trHeight w:val="441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 w:rsidRPr="00BA632A">
              <w:rPr>
                <w:sz w:val="20"/>
                <w:szCs w:val="20"/>
              </w:rPr>
              <w:t>годовых</w:t>
            </w:r>
            <w:proofErr w:type="gramEnd"/>
            <w:r w:rsidRPr="00BA632A"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3362"/>
              <w:gridCol w:w="6359"/>
            </w:tblGrid>
            <w:tr w:rsidR="00BC0C69" w:rsidRPr="00BA632A" w:rsidTr="008631AE">
              <w:tc>
                <w:tcPr>
                  <w:tcW w:w="3362" w:type="dxa"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 w:rsidRPr="00BA632A"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 w:rsidRPr="00BA632A"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BC0C69" w:rsidRPr="00BA632A" w:rsidTr="008631AE">
              <w:tc>
                <w:tcPr>
                  <w:tcW w:w="3362" w:type="dxa"/>
                </w:tcPr>
                <w:p w:rsidR="00BC0C69" w:rsidRPr="00BA632A" w:rsidRDefault="00BC0C69" w:rsidP="008631AE">
                  <w:pPr>
                    <w:pStyle w:val="a4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BA632A">
                    <w:rPr>
                      <w:sz w:val="20"/>
                      <w:szCs w:val="20"/>
                    </w:rPr>
                    <w:lastRenderedPageBreak/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BC0C69" w:rsidRPr="00BA632A" w:rsidRDefault="00BC0C69" w:rsidP="008631A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10" w:history="1">
                    <w:r w:rsidRPr="00BA632A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иных договорах, которые заемщик обязан заключить, и (или) иных услуга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х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color w:val="000000"/>
                <w:sz w:val="20"/>
                <w:szCs w:val="20"/>
              </w:rPr>
              <w:t>работах, товарах)</w:t>
            </w:r>
            <w:r w:rsidRPr="00BA632A">
              <w:rPr>
                <w:color w:val="000000"/>
                <w:sz w:val="20"/>
                <w:szCs w:val="20"/>
              </w:rPr>
              <w:t xml:space="preserve">, которые он обязан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приобрести</w:t>
            </w:r>
            <w:r w:rsidRPr="00BA632A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 xml:space="preserve"> связи с договором потребительского кредита, а также информация о возможности заемщика согласиться с заключением таких договоров и (или) </w:t>
            </w:r>
            <w:proofErr w:type="spellStart"/>
            <w:r>
              <w:rPr>
                <w:color w:val="000000"/>
                <w:sz w:val="20"/>
                <w:szCs w:val="20"/>
              </w:rPr>
              <w:t>приобретением</w:t>
            </w:r>
            <w:r w:rsidRPr="00BA632A">
              <w:rPr>
                <w:color w:val="000000"/>
                <w:sz w:val="20"/>
                <w:szCs w:val="20"/>
              </w:rPr>
              <w:t>таких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 xml:space="preserve"> услуг</w:t>
            </w:r>
            <w:r>
              <w:rPr>
                <w:color w:val="000000"/>
                <w:sz w:val="20"/>
                <w:szCs w:val="20"/>
              </w:rPr>
              <w:t>(работ, товаров)</w:t>
            </w:r>
            <w:r w:rsidRPr="00BA632A">
              <w:rPr>
                <w:color w:val="000000"/>
                <w:sz w:val="20"/>
                <w:szCs w:val="20"/>
              </w:rPr>
              <w:t xml:space="preserve"> либо отказаться от них.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CA478C" w:rsidRDefault="00BC0C69" w:rsidP="008631AE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</w:t>
            </w:r>
            <w:r w:rsidRPr="00CA478C">
              <w:rPr>
                <w:color w:val="000000"/>
                <w:sz w:val="20"/>
                <w:szCs w:val="20"/>
              </w:rPr>
              <w:t xml:space="preserve"> </w:t>
            </w:r>
            <w:r w:rsidRPr="00BA632A">
              <w:rPr>
                <w:color w:val="000000"/>
                <w:sz w:val="20"/>
                <w:szCs w:val="20"/>
              </w:rPr>
              <w:t xml:space="preserve"> При этом Заемщик может отказаться от заключения такого договора.</w:t>
            </w:r>
          </w:p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</w:p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0C69" w:rsidRPr="00BA632A" w:rsidRDefault="00BC0C69" w:rsidP="008631A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использовании заемщиком полученного потребительского кредита на определенные цели).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lastRenderedPageBreak/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 w:rsidRPr="00BA632A">
              <w:rPr>
                <w:sz w:val="20"/>
                <w:szCs w:val="20"/>
              </w:rPr>
              <w:t>от</w:t>
            </w:r>
            <w:proofErr w:type="gramEnd"/>
            <w:r w:rsidRPr="00BA632A">
              <w:rPr>
                <w:sz w:val="20"/>
                <w:szCs w:val="20"/>
              </w:rPr>
              <w:t xml:space="preserve"> потребительских, заемщиком предоставляются </w:t>
            </w:r>
            <w:r w:rsidRPr="00BA632A">
              <w:rPr>
                <w:sz w:val="20"/>
                <w:szCs w:val="20"/>
              </w:rPr>
              <w:lastRenderedPageBreak/>
              <w:t>документы, подтверждающие их целевое использование.</w:t>
            </w:r>
          </w:p>
        </w:tc>
      </w:tr>
      <w:tr w:rsidR="00BC0C69" w:rsidRPr="00BA632A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BC0C69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BC0C69" w:rsidRPr="00BA632A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BC0C69" w:rsidRDefault="00BC0C69" w:rsidP="008631AE">
            <w:pPr>
              <w:pStyle w:val="a4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11" w:history="1">
              <w:r w:rsidRPr="00BA632A">
                <w:rPr>
                  <w:rStyle w:val="a5"/>
                  <w:sz w:val="20"/>
                  <w:szCs w:val="20"/>
                </w:rPr>
                <w:t>http://bnal.ru</w:t>
              </w:r>
            </w:hyperlink>
          </w:p>
        </w:tc>
      </w:tr>
      <w:tr w:rsidR="00BC0C69" w:rsidTr="008631AE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BA632A" w:rsidRDefault="00BC0C69" w:rsidP="008631AE">
            <w:pPr>
              <w:pStyle w:val="a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праве заемщика обратиться к кредитору с требованием, указанным в  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части 1 статьи 6.1-2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Федерального закона №353-ФЗ, и об условиях, при наступлении которых у заемщика возникает соответствующее право.</w:t>
            </w:r>
          </w:p>
          <w:p w:rsidR="00BC0C69" w:rsidRPr="00BA632A" w:rsidRDefault="00BC0C69" w:rsidP="008631AE">
            <w:pPr>
              <w:pStyle w:val="a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Созаемщики</w:t>
            </w:r>
            <w:proofErr w:type="spellEnd"/>
            <w:r w:rsidRPr="00406DAA">
              <w:rPr>
                <w:sz w:val="20"/>
                <w:szCs w:val="20"/>
              </w:rPr>
              <w:t xml:space="preserve"> по договору потребительского кредита в любой момент в течение времени действия кредитного договора, за исключением случая, указанного в пункте 2</w:t>
            </w:r>
            <w:r w:rsidRPr="00406DAA">
              <w:rPr>
                <w:rStyle w:val="a8"/>
                <w:sz w:val="20"/>
                <w:szCs w:val="20"/>
              </w:rPr>
              <w:footnoteReference w:id="1"/>
            </w:r>
            <w:r w:rsidRPr="00406DAA">
              <w:rPr>
                <w:sz w:val="20"/>
                <w:szCs w:val="20"/>
              </w:rPr>
              <w:t xml:space="preserve"> части 2 статьи 6.1-2 Федерального закона №353-ФЗ вправе обратиться к Кредитору с требованием о предоставлении льготного периода (далее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-т</w:t>
            </w:r>
            <w:proofErr w:type="gramEnd"/>
            <w:r w:rsidRPr="00406DAA">
              <w:rPr>
                <w:sz w:val="20"/>
                <w:szCs w:val="20"/>
              </w:rPr>
              <w:t xml:space="preserve">ребование), предусматривающего приостановление исполнения заемщиком своих обязательств по такому договору, при одновременном соблюдении следующих условий: </w:t>
            </w:r>
          </w:p>
          <w:p w:rsidR="00BC0C69" w:rsidRPr="00406DA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1. Размер кредита, предоставленного по договору потребительского кредита</w:t>
            </w:r>
            <w:r>
              <w:rPr>
                <w:sz w:val="20"/>
                <w:szCs w:val="20"/>
              </w:rPr>
              <w:t xml:space="preserve"> (далее – договор)</w:t>
            </w:r>
            <w:r w:rsidRPr="00406DAA">
              <w:rPr>
                <w:sz w:val="20"/>
                <w:szCs w:val="20"/>
              </w:rPr>
              <w:t>, не превышает максимальный размер кредита, установленный Правительством Российской Федерации для кредитов, по которому 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Созаемщики</w:t>
            </w:r>
            <w:proofErr w:type="spellEnd"/>
            <w:r w:rsidRPr="00406DAA">
              <w:rPr>
                <w:sz w:val="20"/>
                <w:szCs w:val="20"/>
              </w:rPr>
              <w:t xml:space="preserve"> вправе обратиться с требованием к Кредитору о предоставлении льготного периода. Максимальный размер кредита для кредитов, по которому 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Созаемщики</w:t>
            </w:r>
            <w:proofErr w:type="spellEnd"/>
            <w:r w:rsidRPr="00406DAA">
              <w:rPr>
                <w:sz w:val="20"/>
                <w:szCs w:val="20"/>
              </w:rPr>
              <w:t xml:space="preserve"> вправе обратиться с требованием к кредитору о предоставлении льготного периода, может быть установлен Правительством Российской Федерации с учетом региональных особенностей.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 xml:space="preserve">2. </w:t>
            </w:r>
            <w:proofErr w:type="gramStart"/>
            <w:r w:rsidRPr="00406DAA">
              <w:rPr>
                <w:sz w:val="20"/>
                <w:szCs w:val="20"/>
              </w:rPr>
              <w:t xml:space="preserve">Условия по договору ранее не изменялись по требованию Заемщика/любого из 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>, указанному в статье 6.1-2 Федерального закона №353-ФЗ  или статье 6 Федерального закона №106-ФЗ от 03.04.2020 года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займа», независимо от перехода</w:t>
            </w:r>
            <w:proofErr w:type="gramEnd"/>
            <w:r w:rsidRPr="00406DAA">
              <w:rPr>
                <w:sz w:val="20"/>
                <w:szCs w:val="20"/>
              </w:rPr>
              <w:t xml:space="preserve"> прав (требований) по такому договору к другому кредитору.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 xml:space="preserve">Исключение составляют ранее осуществленные изменения условий договора потребительского кредита: 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1"/>
              </w:numPr>
              <w:ind w:left="532" w:firstLine="0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в случае обращения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в связи с обстоятельствами, предусмотренными п.1 части 2 статьи 6.1-2 Закона №353-ФЗ, если предыдущее изменение условий было осуществлено в связи с обстоятельствами, предусмотренными п.2 части 2 статьи 6.1-2 Закона №353-ФЗ; 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1"/>
              </w:numPr>
              <w:ind w:left="532" w:firstLine="0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в случае обращения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в связи с обстоятельствами, предусмотренными п.2 части 2 статьи 6.1-2 Закона №</w:t>
            </w:r>
            <w:proofErr w:type="gramStart"/>
            <w:r w:rsidRPr="00406DAA">
              <w:rPr>
                <w:sz w:val="20"/>
                <w:szCs w:val="20"/>
              </w:rPr>
              <w:t>353-ФЗ</w:t>
            </w:r>
            <w:proofErr w:type="gramEnd"/>
            <w:r w:rsidRPr="00406DAA">
              <w:rPr>
                <w:sz w:val="20"/>
                <w:szCs w:val="20"/>
              </w:rPr>
              <w:t xml:space="preserve"> если предыдущее изменение условий было осуществлено в связи с обстоятельствами, предусмотренными п.1 части 2 статьи 6.1-2 Закона №353-ФЗ. </w:t>
            </w:r>
          </w:p>
          <w:p w:rsidR="00BC0C69" w:rsidRPr="006B2204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 xml:space="preserve">3. </w:t>
            </w:r>
            <w:proofErr w:type="gramStart"/>
            <w:r w:rsidRPr="006B2204">
              <w:rPr>
                <w:sz w:val="20"/>
                <w:szCs w:val="20"/>
              </w:rPr>
              <w:t>По договору не действует льготный период, установленный в соответствии со статьей 1 Федерального закона № 377-ФЗ от 07.10.2022 года «Об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</w:t>
            </w:r>
            <w:proofErr w:type="gramEnd"/>
            <w:r w:rsidRPr="006B2204">
              <w:rPr>
                <w:sz w:val="20"/>
                <w:szCs w:val="20"/>
              </w:rPr>
              <w:t xml:space="preserve"> Федерации». </w:t>
            </w: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lastRenderedPageBreak/>
              <w:t>4. 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Созаемщики</w:t>
            </w:r>
            <w:proofErr w:type="spellEnd"/>
            <w:r w:rsidRPr="00406DAA">
              <w:rPr>
                <w:sz w:val="20"/>
                <w:szCs w:val="20"/>
              </w:rPr>
              <w:t xml:space="preserve"> на день направления </w:t>
            </w:r>
            <w:r>
              <w:rPr>
                <w:sz w:val="20"/>
                <w:szCs w:val="20"/>
              </w:rPr>
              <w:t>т</w:t>
            </w:r>
            <w:r w:rsidRPr="00406DAA">
              <w:rPr>
                <w:sz w:val="20"/>
                <w:szCs w:val="20"/>
              </w:rPr>
              <w:t>ребования, находитс</w:t>
            </w:r>
            <w:r>
              <w:rPr>
                <w:sz w:val="20"/>
                <w:szCs w:val="20"/>
              </w:rPr>
              <w:t>я в трудной жизненной ситуации: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1) снижение среднемесячного дохода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(совокупного среднемесячного дохода всех заемщиков), рассчитанного за два месяца, предшествующие месяцу обращения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т</w:t>
            </w:r>
            <w:r w:rsidRPr="00406DAA">
              <w:rPr>
                <w:sz w:val="20"/>
                <w:szCs w:val="20"/>
              </w:rPr>
              <w:t>ребованием более чем на 30 процентов по сравнению со среднемесячным доходом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(совокупным среднемесячным доходом всех заемщиков), рассчитанным за 12 месяцев, предшествующих месяцу обращения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т</w:t>
            </w:r>
            <w:r w:rsidRPr="00406DAA">
              <w:rPr>
                <w:sz w:val="20"/>
                <w:szCs w:val="20"/>
              </w:rPr>
              <w:t xml:space="preserve">ребованием;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2)проживание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В этом случае 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</w:t>
            </w:r>
            <w:proofErr w:type="spellEnd"/>
            <w:r w:rsidRPr="00406DAA">
              <w:rPr>
                <w:sz w:val="20"/>
                <w:szCs w:val="20"/>
              </w:rPr>
              <w:t xml:space="preserve"> вправе обратиться к Кредитору с </w:t>
            </w:r>
            <w:r>
              <w:rPr>
                <w:sz w:val="20"/>
                <w:szCs w:val="20"/>
              </w:rPr>
              <w:t>т</w:t>
            </w:r>
            <w:r w:rsidRPr="00406DAA">
              <w:rPr>
                <w:sz w:val="20"/>
                <w:szCs w:val="20"/>
              </w:rPr>
              <w:t xml:space="preserve">ребованием </w:t>
            </w:r>
            <w:r w:rsidRPr="00C1693F">
              <w:rPr>
                <w:sz w:val="20"/>
                <w:szCs w:val="20"/>
              </w:rPr>
              <w:t>в течение 60-ти дней</w:t>
            </w:r>
            <w:r w:rsidRPr="00406DAA">
              <w:rPr>
                <w:sz w:val="20"/>
                <w:szCs w:val="20"/>
              </w:rPr>
              <w:t xml:space="preserve"> со дня установления соответствующих фактов.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 xml:space="preserve">5. </w:t>
            </w:r>
            <w:proofErr w:type="gramStart"/>
            <w:r w:rsidRPr="00406DAA">
              <w:rPr>
                <w:sz w:val="20"/>
                <w:szCs w:val="20"/>
              </w:rPr>
              <w:t>На день получения Кредитором требования, отсутствует вступившее в силу постановление (акт) суда о признании обоснованным заявления о признании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банкротом и введении реструктуризации его долгов или о признании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банкротом и введении реализации имущества гражданина, в Едином федеральном реестре сведений о банкротстве отсутствуют сведения о признании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банкротом, по соответствующему договору потребительского кредита отсутствует вступившее в </w:t>
            </w:r>
            <w:proofErr w:type="spellStart"/>
            <w:r w:rsidRPr="00406DAA">
              <w:rPr>
                <w:sz w:val="20"/>
                <w:szCs w:val="20"/>
              </w:rPr>
              <w:t>силупостановление</w:t>
            </w:r>
            <w:proofErr w:type="spellEnd"/>
            <w:proofErr w:type="gramEnd"/>
            <w:r w:rsidRPr="00406DAA">
              <w:rPr>
                <w:sz w:val="20"/>
                <w:szCs w:val="20"/>
              </w:rPr>
              <w:t xml:space="preserve"> (</w:t>
            </w:r>
            <w:proofErr w:type="gramStart"/>
            <w:r w:rsidRPr="00406DAA">
              <w:rPr>
                <w:sz w:val="20"/>
                <w:szCs w:val="20"/>
              </w:rPr>
              <w:t xml:space="preserve">акт) </w:t>
            </w:r>
            <w:proofErr w:type="spellStart"/>
            <w:r w:rsidRPr="00406DAA">
              <w:rPr>
                <w:sz w:val="20"/>
                <w:szCs w:val="20"/>
              </w:rPr>
              <w:t>судаоб</w:t>
            </w:r>
            <w:proofErr w:type="spellEnd"/>
            <w:r w:rsidRPr="00406DAA">
              <w:rPr>
                <w:sz w:val="20"/>
                <w:szCs w:val="20"/>
              </w:rPr>
              <w:t xml:space="preserve"> утверждении мирового соглашения по предъявленному Кредитором исковому требованию о взыскании задолженности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(об обращении взыскания на предмет залога, обеспечивающий исполнение обязательств по такому договору, и (или) о расторжении договора потребительского кредита  либо вступившее в силу постановление (акт) суда о взыскании задолженности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Созаемщиков</w:t>
            </w:r>
            <w:proofErr w:type="spellEnd"/>
            <w:r w:rsidRPr="00406DAA">
              <w:rPr>
                <w:sz w:val="20"/>
                <w:szCs w:val="20"/>
              </w:rPr>
              <w:t xml:space="preserve"> (об обращении взыскания на предмет залога и (или) о расторжении договора потребительского кредита.</w:t>
            </w:r>
            <w:proofErr w:type="gramEnd"/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 xml:space="preserve">6. На день получения Кредитором </w:t>
            </w:r>
            <w:r>
              <w:rPr>
                <w:sz w:val="20"/>
                <w:szCs w:val="20"/>
              </w:rPr>
              <w:t>т</w:t>
            </w:r>
            <w:r w:rsidRPr="00406DAA">
              <w:rPr>
                <w:sz w:val="20"/>
                <w:szCs w:val="20"/>
              </w:rPr>
              <w:t xml:space="preserve">ребования,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договору. </w:t>
            </w: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C0C69" w:rsidRPr="00C1693F" w:rsidRDefault="00BC0C69" w:rsidP="008631AE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случае</w:t>
            </w:r>
            <w:proofErr w:type="gramStart"/>
            <w:r w:rsidRPr="00C1693F">
              <w:rPr>
                <w:rFonts w:ascii="Arial" w:eastAsia="Times New Roman" w:hAnsi="Arial" w:cs="Arial"/>
                <w:color w:val="auto"/>
                <w:sz w:val="17"/>
                <w:szCs w:val="17"/>
              </w:rPr>
              <w:t>,</w:t>
            </w:r>
            <w:r>
              <w:rPr>
                <w:rFonts w:eastAsia="Times New Roman"/>
                <w:color w:val="auto"/>
                <w:sz w:val="20"/>
                <w:szCs w:val="20"/>
              </w:rPr>
              <w:t>е</w:t>
            </w:r>
            <w:proofErr w:type="gramEnd"/>
            <w:r>
              <w:rPr>
                <w:rFonts w:eastAsia="Times New Roman"/>
                <w:color w:val="auto"/>
                <w:sz w:val="20"/>
                <w:szCs w:val="20"/>
              </w:rPr>
              <w:t>сли</w:t>
            </w:r>
            <w:proofErr w:type="spellEnd"/>
            <w:r>
              <w:rPr>
                <w:rFonts w:eastAsia="Times New Roman"/>
                <w:color w:val="auto"/>
                <w:sz w:val="20"/>
                <w:szCs w:val="20"/>
              </w:rPr>
              <w:t xml:space="preserve"> исполнение обязательств З</w:t>
            </w:r>
            <w:r w:rsidRPr="00C1693F">
              <w:rPr>
                <w:rFonts w:eastAsia="Times New Roman"/>
                <w:color w:val="auto"/>
                <w:sz w:val="20"/>
                <w:szCs w:val="20"/>
              </w:rPr>
              <w:t>аемщика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C1693F">
              <w:rPr>
                <w:rFonts w:eastAsia="Times New Roman"/>
                <w:color w:val="auto"/>
                <w:sz w:val="20"/>
                <w:szCs w:val="20"/>
              </w:rPr>
              <w:t xml:space="preserve"> по договору обеспечено залогом и залогодателем является третье лицо, к требованию заемщика должно быть приложено согласие такого залогодателя.</w:t>
            </w:r>
          </w:p>
          <w:p w:rsidR="00BC0C69" w:rsidRDefault="00BC0C69" w:rsidP="008631A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</w:t>
            </w:r>
            <w:proofErr w:type="gramStart"/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если исполнение обязательств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договору обеспечено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поручительством, к требованию З</w:t>
            </w:r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>аемщика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C16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 быть приложено согласие поручителя на изменение срока поручительства и объема ответственности поручителя.</w:t>
            </w:r>
          </w:p>
          <w:p w:rsidR="00BC0C69" w:rsidRDefault="00BC0C69" w:rsidP="008631A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69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Параметры льготного периода</w:t>
            </w:r>
          </w:p>
          <w:p w:rsidR="00BC0C69" w:rsidRPr="006B2204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2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Заемщик/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вправе определить длительность льготного периода не более шести месяцев, а также дату начала льготного периода. При этом дата начала льготного периода не может отстоять более чем на один месяц, предшествующий обращению Заемщика/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с требованием. В случае если Заемщик/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в своем требовании не определил длительность льготного периода, а также дату начала льготного периода, льготный период считается равным шести месяцам, а датой начала льготного периода - дата направления требования Заемщика/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Кредитору. Дата начала льготного периода по договору, предусматривающему предоставление потребительского кредита с лимитом кредитования, не может быть определена Заемщиком/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Созаемщиком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ранее даты направления им Кредитору требования.</w:t>
            </w: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Если Заемщик/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в требовании определил дату начала льготного периода, предоставляемого в связи с обстоятельствами, предусмотренными под</w:t>
            </w:r>
            <w:hyperlink r:id="rId13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 xml:space="preserve">пунктом 2) 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статьи, до даты окончания льготного периода, предоставленного ему в связи с обстоятельствами, предусмотренными под</w:t>
            </w:r>
            <w:hyperlink r:id="rId14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 xml:space="preserve">пунктом 1) 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пункта 4 настоящей статьи, действие льготного периода, предоставленного в связи с обстоятельствами, </w:t>
            </w:r>
            <w:r w:rsidRPr="006B22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предусмотренными под</w:t>
            </w:r>
            <w:hyperlink r:id="rId15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 xml:space="preserve">пунктом 1) 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статьи, автоматически досрочно</w:t>
            </w:r>
            <w:proofErr w:type="gram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прекращается при предоставлении льготного периода в связи с обстоятельствами, предусмотренными под</w:t>
            </w:r>
            <w:hyperlink r:id="rId16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 xml:space="preserve">пунктом 2) 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пункта 4 настоящей статьи. </w:t>
            </w:r>
            <w:proofErr w:type="gram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Если Заемщик/</w:t>
            </w:r>
            <w:proofErr w:type="spellStart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proofErr w:type="spell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в требовании  определил дату начала льготного периода, предоставляемого в связи с обстоятельствами, предусмотренными под</w:t>
            </w:r>
            <w:hyperlink r:id="rId17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>пунктом 1)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статьи, до даты окончания льготного периода, предоставленного ему в связи с обстоятельствами, предусмотренными под</w:t>
            </w:r>
            <w:hyperlink r:id="rId18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>пунктом 2)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статьи, действие льготного периода, предоставленного в связи с обстоятельствами, предусмотренными под</w:t>
            </w:r>
            <w:hyperlink r:id="rId19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>пунктом 2)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статьи, автоматически досрочно</w:t>
            </w:r>
            <w:proofErr w:type="gramEnd"/>
            <w:r w:rsidRPr="006B2204">
              <w:rPr>
                <w:rFonts w:ascii="Times New Roman" w:hAnsi="Times New Roman" w:cs="Times New Roman"/>
                <w:sz w:val="20"/>
                <w:szCs w:val="20"/>
              </w:rPr>
              <w:t xml:space="preserve"> прекращается при предоставлении льготного периода в связи с обстоятельствами, предусмотренными под</w:t>
            </w:r>
            <w:hyperlink r:id="rId20" w:history="1">
              <w:r w:rsidRPr="006B2204">
                <w:rPr>
                  <w:rFonts w:ascii="Times New Roman" w:hAnsi="Times New Roman" w:cs="Times New Roman"/>
                  <w:sz w:val="20"/>
                  <w:szCs w:val="20"/>
                </w:rPr>
                <w:t>пунктом 1)</w:t>
              </w:r>
            </w:hyperlink>
            <w:r w:rsidRPr="006B2204">
              <w:rPr>
                <w:rFonts w:ascii="Times New Roman" w:hAnsi="Times New Roman" w:cs="Times New Roman"/>
                <w:sz w:val="20"/>
                <w:szCs w:val="20"/>
              </w:rPr>
              <w:t>пункта 4 настоящей статьи.</w:t>
            </w: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действия  льготного периода по договору на размер основного долга, входящего в состав текущей задолженности Заемщика/</w:t>
            </w:r>
            <w:proofErr w:type="spellStart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 Кредитором по такому договору на день установления льготного периода, за исключением обязательств Заемщика/</w:t>
            </w:r>
            <w:proofErr w:type="spellStart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возврату сумм основного долга, исполнение которых просрочено до установления льготного периода, начисляются проценты по процентной ставке, предусмотренной условиями договора, действовавшими до предоставления Заемщику/</w:t>
            </w:r>
            <w:proofErr w:type="spellStart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Созаемщику</w:t>
            </w:r>
            <w:proofErr w:type="spellEnd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льготного периода</w:t>
            </w:r>
            <w:proofErr w:type="gramEnd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. Сумма процентов, начисленных в соответствии с настоящей частью, фиксируется по окончании льготного периода.</w:t>
            </w: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 В течение льготного периода не допускается начисление неустойки (штрафа, пеней) за неисполнение или ненадлежащее исполнение Заемщиком/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обязательств по возврату кредита и (или) уплате процентов на сумму кредита. </w:t>
            </w:r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процентов, неустойки (штрафа, пени) за неисполнение или ненадлежащее исполнение заемщиком обязательств по возврату кредита и (или) уплате процентов на сумму кредита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(займа), не уплаченная З</w:t>
            </w:r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>аемщиком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Созаемщиком</w:t>
            </w:r>
            <w:proofErr w:type="spellEnd"/>
            <w:r w:rsidRPr="00E54B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установления льготного периода, фиксируется и уплачивается после окончания льготного периода.</w:t>
            </w:r>
          </w:p>
          <w:p w:rsidR="00BC0C69" w:rsidRPr="00D12488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 После установления льготного периода исполнение обязатель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едитора по предоставлению денежных средств Заемщику по договору, по которому предоставлен льготный период, приостанавливается на весь срок действия льготного периода.</w:t>
            </w: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</w:t>
            </w:r>
            <w:r w:rsidRPr="00896D08">
              <w:rPr>
                <w:sz w:val="20"/>
                <w:szCs w:val="20"/>
              </w:rPr>
              <w:t xml:space="preserve">Заемщик/ </w:t>
            </w:r>
            <w:proofErr w:type="spellStart"/>
            <w:r w:rsidRPr="00896D08">
              <w:rPr>
                <w:sz w:val="20"/>
                <w:szCs w:val="20"/>
              </w:rPr>
              <w:t>Созаемщик</w:t>
            </w:r>
            <w:proofErr w:type="spellEnd"/>
            <w:r w:rsidRPr="00896D08">
              <w:rPr>
                <w:sz w:val="20"/>
                <w:szCs w:val="20"/>
              </w:rPr>
              <w:t xml:space="preserve"> вправе в любой момент времени в течение льготного периода производить досрочное исполнение кредитного обязательства без прекращения льготного периода, пока данные суммы </w:t>
            </w:r>
            <w:proofErr w:type="gramStart"/>
            <w:r w:rsidRPr="00896D08">
              <w:rPr>
                <w:sz w:val="20"/>
                <w:szCs w:val="20"/>
              </w:rPr>
              <w:t>платежей</w:t>
            </w:r>
            <w:proofErr w:type="gramEnd"/>
            <w:r w:rsidRPr="00896D08">
              <w:rPr>
                <w:sz w:val="20"/>
                <w:szCs w:val="20"/>
              </w:rPr>
              <w:t xml:space="preserve"> не достигнут максимальной суммы досрочного погашения. Максимальная сумма досрочного погашения в течение льготного периода рассчитывается путем  сложения сумм всех платежей, </w:t>
            </w:r>
            <w:proofErr w:type="gramStart"/>
            <w:r w:rsidRPr="00896D08">
              <w:rPr>
                <w:sz w:val="20"/>
                <w:szCs w:val="20"/>
              </w:rPr>
              <w:t>даты</w:t>
            </w:r>
            <w:proofErr w:type="gramEnd"/>
            <w:r w:rsidRPr="00896D08">
              <w:rPr>
                <w:sz w:val="20"/>
                <w:szCs w:val="20"/>
              </w:rPr>
              <w:t xml:space="preserve"> внесения которых вошли в льготный период в соответствии с графиком платежей, действовавшим до предоставления льготного периода. Максимальная сумма досрочного погашения в течение льготного периода по договору, предусматривающему предоставление потребительского кредита с лимитом кредитования, рассчитывается путем сложения сумм платежей по кредитному договору, </w:t>
            </w:r>
            <w:proofErr w:type="gramStart"/>
            <w:r w:rsidRPr="00896D08">
              <w:rPr>
                <w:sz w:val="20"/>
                <w:szCs w:val="20"/>
              </w:rPr>
              <w:t>сроки</w:t>
            </w:r>
            <w:proofErr w:type="gramEnd"/>
            <w:r w:rsidRPr="00896D08">
              <w:rPr>
                <w:sz w:val="20"/>
                <w:szCs w:val="20"/>
              </w:rPr>
              <w:t xml:space="preserve"> уплаты которых вошли в льготный период. При достижении максимальной суммы досрочного погашения действие льготного периода </w:t>
            </w:r>
            <w:proofErr w:type="gramStart"/>
            <w:r w:rsidRPr="00896D08">
              <w:rPr>
                <w:sz w:val="20"/>
                <w:szCs w:val="20"/>
              </w:rPr>
              <w:t>прекращается</w:t>
            </w:r>
            <w:proofErr w:type="gramEnd"/>
            <w:r w:rsidRPr="00896D08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>Кредитор</w:t>
            </w:r>
            <w:r w:rsidRPr="00896D08">
              <w:rPr>
                <w:sz w:val="20"/>
                <w:szCs w:val="20"/>
              </w:rPr>
              <w:t xml:space="preserve"> направляет Заемщику /</w:t>
            </w:r>
            <w:proofErr w:type="spellStart"/>
            <w:r w:rsidRPr="00896D08">
              <w:rPr>
                <w:sz w:val="20"/>
                <w:szCs w:val="20"/>
              </w:rPr>
              <w:t>Созаемщик</w:t>
            </w:r>
            <w:r>
              <w:rPr>
                <w:sz w:val="20"/>
                <w:szCs w:val="20"/>
              </w:rPr>
              <w:t>у</w:t>
            </w:r>
            <w:proofErr w:type="spellEnd"/>
            <w:r w:rsidRPr="00896D08">
              <w:rPr>
                <w:sz w:val="20"/>
                <w:szCs w:val="20"/>
              </w:rPr>
              <w:t xml:space="preserve"> уточненный </w:t>
            </w:r>
            <w:r>
              <w:rPr>
                <w:sz w:val="20"/>
                <w:szCs w:val="20"/>
              </w:rPr>
              <w:t>г</w:t>
            </w:r>
            <w:r w:rsidRPr="00896D08">
              <w:rPr>
                <w:sz w:val="20"/>
                <w:szCs w:val="20"/>
              </w:rPr>
              <w:t xml:space="preserve">рафик погашения по договору не позднее трех рабочих дней после прекращения льготного периода по обстоятельствам, указанным в настоящем пункте. </w:t>
            </w:r>
          </w:p>
          <w:p w:rsidR="00BC0C69" w:rsidRPr="00896D08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По окончании льготного периода договор продолжает действовать на условиях, действовавших до предоставления льготного периода. При </w:t>
            </w:r>
            <w:proofErr w:type="spellStart"/>
            <w:r>
              <w:rPr>
                <w:sz w:val="20"/>
                <w:szCs w:val="20"/>
              </w:rPr>
              <w:t>этомсрок</w:t>
            </w:r>
            <w:proofErr w:type="spellEnd"/>
            <w:r>
              <w:rPr>
                <w:sz w:val="20"/>
                <w:szCs w:val="20"/>
              </w:rPr>
              <w:t xml:space="preserve"> возврата кредита по договору продлевается на срок действия льготного периода.</w:t>
            </w: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По договору, 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предусматривающему предоставление потребительского кредита с лимитом кредитования, сумма процентов, зафиксированная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пунктом 4 настоящего раздела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, уплачивается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аемщиком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Созаемщиком</w:t>
            </w:r>
            <w:proofErr w:type="spellEnd"/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семисот двадцати дней после дня окончания льготного периода равными платежами каждые тридцать дней. Кредитор </w:t>
            </w:r>
            <w:proofErr w:type="spellStart"/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уведом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ляетЗ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аемщика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Созаемщика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размере</w:t>
            </w:r>
            <w:proofErr w:type="gramEnd"/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 и периодичности внесения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нных в настоящей части платежей </w:t>
            </w:r>
            <w:r w:rsidRPr="0043507A">
              <w:rPr>
                <w:rFonts w:ascii="Times New Roman" w:hAnsi="Times New Roman" w:cs="Times New Roman"/>
                <w:sz w:val="18"/>
                <w:szCs w:val="18"/>
              </w:rPr>
              <w:t xml:space="preserve">способом, предусмотренным Договором, или путем направления </w:t>
            </w:r>
            <w:r w:rsidRPr="004350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требования по почте заказным письмом с уведомлением о вручении либо путем вручения требования под расписку.</w:t>
            </w: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 По о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 xml:space="preserve">кончании льготного периода договор, предусматривающий предоставление потребительского кредита с лимитом кредитования, продолжает действовать на условиях, установленных до начала льготного периода. При этом доступная сумма потребительского кредита с лимитом кредитования уменьшается на размер обязательства заемщика, зафиксированный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пунктом 4 настоящего раздела</w:t>
            </w:r>
            <w:r w:rsidRPr="00554861">
              <w:rPr>
                <w:rFonts w:ascii="Times New Roman" w:hAnsi="Times New Roman" w:cs="Times New Roman"/>
                <w:sz w:val="20"/>
                <w:szCs w:val="20"/>
              </w:rPr>
              <w:t>, если иное не установлено таким договором.</w:t>
            </w:r>
          </w:p>
          <w:p w:rsidR="00BC0C69" w:rsidRDefault="00BC0C69" w:rsidP="008631AE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34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Оформление льготного периода</w:t>
            </w:r>
          </w:p>
          <w:p w:rsidR="00BC0C69" w:rsidRDefault="00BC0C69" w:rsidP="008631A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7346F">
              <w:rPr>
                <w:rFonts w:ascii="Times New Roman" w:hAnsi="Times New Roman" w:cs="Times New Roman"/>
                <w:sz w:val="20"/>
                <w:szCs w:val="20"/>
              </w:rPr>
              <w:t>Требование Заемщика/</w:t>
            </w:r>
            <w:proofErr w:type="spellStart"/>
            <w:r w:rsidRPr="0017346F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17346F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представляется Кредитору способом, предусмотренным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7346F">
              <w:rPr>
                <w:rFonts w:ascii="Times New Roman" w:hAnsi="Times New Roman" w:cs="Times New Roman"/>
                <w:sz w:val="20"/>
                <w:szCs w:val="20"/>
              </w:rPr>
              <w:t>оговором, или путем направления требования по почте заказным письмом с уведомлением о вручении либо путем вручения требования под расписку.</w:t>
            </w:r>
          </w:p>
          <w:p w:rsidR="00BC0C69" w:rsidRPr="00901D72" w:rsidRDefault="00BC0C69" w:rsidP="008631A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901D72">
              <w:rPr>
                <w:rFonts w:ascii="Times New Roman" w:hAnsi="Times New Roman" w:cs="Times New Roman"/>
                <w:sz w:val="20"/>
                <w:szCs w:val="20"/>
              </w:rPr>
              <w:t>Заемщик/</w:t>
            </w:r>
            <w:proofErr w:type="spellStart"/>
            <w:r w:rsidRPr="00901D72">
              <w:rPr>
                <w:rFonts w:ascii="Times New Roman" w:hAnsi="Times New Roman" w:cs="Times New Roman"/>
                <w:sz w:val="20"/>
                <w:szCs w:val="20"/>
              </w:rPr>
              <w:t>Созаемщик</w:t>
            </w:r>
            <w:proofErr w:type="spellEnd"/>
            <w:r w:rsidRPr="00901D72">
              <w:rPr>
                <w:rFonts w:ascii="Times New Roman" w:hAnsi="Times New Roman" w:cs="Times New Roman"/>
                <w:sz w:val="20"/>
                <w:szCs w:val="20"/>
              </w:rPr>
              <w:t xml:space="preserve"> при представлении требования обязан приложить документы, подтверждающие нахождение Заемщика/</w:t>
            </w:r>
            <w:proofErr w:type="spellStart"/>
            <w:r w:rsidRPr="00901D72">
              <w:rPr>
                <w:rFonts w:ascii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901D72">
              <w:rPr>
                <w:rFonts w:ascii="Times New Roman" w:hAnsi="Times New Roman" w:cs="Times New Roman"/>
                <w:sz w:val="20"/>
                <w:szCs w:val="20"/>
              </w:rPr>
              <w:t xml:space="preserve"> в трудной жизненной ситуации.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406DAA">
              <w:rPr>
                <w:b/>
                <w:sz w:val="20"/>
                <w:szCs w:val="20"/>
              </w:rPr>
              <w:t>Перечень документов</w:t>
            </w:r>
            <w:r w:rsidRPr="00406DAA">
              <w:rPr>
                <w:sz w:val="20"/>
                <w:szCs w:val="20"/>
              </w:rPr>
              <w:t>, подтверждающих нахождение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в трудной жизненной ситуации (при обращении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r w:rsidRPr="00205DE1">
              <w:rPr>
                <w:i/>
                <w:sz w:val="20"/>
                <w:szCs w:val="20"/>
              </w:rPr>
              <w:t>в</w:t>
            </w:r>
            <w:proofErr w:type="spellEnd"/>
            <w:r w:rsidRPr="00205DE1">
              <w:rPr>
                <w:i/>
                <w:sz w:val="20"/>
                <w:szCs w:val="20"/>
              </w:rPr>
              <w:t xml:space="preserve"> связи со снижением дохода</w:t>
            </w:r>
            <w:r w:rsidRPr="00406DAA">
              <w:rPr>
                <w:sz w:val="20"/>
                <w:szCs w:val="20"/>
              </w:rPr>
              <w:t xml:space="preserve">): 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справка о полученных физическим лицом доходах и удержанных суммах налога, справка 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сборах;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книга учета доходов и расходов и хозяйственных операций индивидуального предпринимателя</w:t>
            </w:r>
            <w:proofErr w:type="gramStart"/>
            <w:r w:rsidRPr="00406DAA">
              <w:rPr>
                <w:sz w:val="20"/>
                <w:szCs w:val="20"/>
              </w:rPr>
              <w:t>,;</w:t>
            </w:r>
            <w:proofErr w:type="gramEnd"/>
          </w:p>
          <w:p w:rsidR="00BC0C69" w:rsidRPr="00406DAA" w:rsidRDefault="00BC0C69" w:rsidP="00BC0C6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книга учета доходов и расходов организаций и индивидуальных предпринимателей, применяющих упрощенную систему налогообложения;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книга учета доходов индивидуального предпринимателя, применяющего патентную систему налогообложения;</w:t>
            </w:r>
          </w:p>
          <w:p w:rsidR="00BC0C69" w:rsidRPr="00406DAA" w:rsidRDefault="00BC0C69" w:rsidP="00BC0C69">
            <w:pPr>
              <w:pStyle w:val="Default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налоговой деятельности, за текущий год и год, предшествующий обращению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. </w:t>
            </w: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C0C69" w:rsidRPr="00406DA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06DAA">
              <w:rPr>
                <w:sz w:val="20"/>
                <w:szCs w:val="20"/>
              </w:rPr>
              <w:t>Если Заемщик/</w:t>
            </w:r>
            <w:proofErr w:type="spellStart"/>
            <w:r w:rsidRPr="00406DAA">
              <w:rPr>
                <w:sz w:val="20"/>
                <w:szCs w:val="20"/>
              </w:rPr>
              <w:t>Созаемщик</w:t>
            </w:r>
            <w:proofErr w:type="spellEnd"/>
            <w:r w:rsidRPr="00406DAA">
              <w:rPr>
                <w:sz w:val="20"/>
                <w:szCs w:val="20"/>
              </w:rPr>
              <w:t xml:space="preserve"> в период, за который представляются документы,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Заемщиком/</w:t>
            </w:r>
            <w:proofErr w:type="spellStart"/>
            <w:r w:rsidRPr="00406DAA">
              <w:rPr>
                <w:sz w:val="20"/>
                <w:szCs w:val="20"/>
              </w:rPr>
              <w:t>Созаемщиком</w:t>
            </w:r>
            <w:proofErr w:type="spellEnd"/>
            <w:r w:rsidRPr="00406DAA">
              <w:rPr>
                <w:sz w:val="20"/>
                <w:szCs w:val="20"/>
              </w:rPr>
              <w:t>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</w:t>
            </w:r>
            <w:r w:rsidRPr="00406DAA">
              <w:t xml:space="preserve">, </w:t>
            </w:r>
            <w:r w:rsidRPr="00406DAA">
              <w:rPr>
                <w:sz w:val="20"/>
                <w:szCs w:val="20"/>
              </w:rPr>
              <w:t>подтверждающими нахождение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в отпуске по уходу за ребенком.</w:t>
            </w:r>
          </w:p>
          <w:p w:rsidR="00BC0C69" w:rsidRPr="00406DAA" w:rsidRDefault="00BC0C69" w:rsidP="008631AE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BC0C69" w:rsidRPr="00205DE1" w:rsidRDefault="00BC0C69" w:rsidP="008631AE">
            <w:pPr>
              <w:pStyle w:val="Default"/>
              <w:jc w:val="both"/>
              <w:rPr>
                <w:i/>
                <w:sz w:val="20"/>
                <w:szCs w:val="20"/>
              </w:rPr>
            </w:pPr>
            <w:r w:rsidRPr="00406DAA">
              <w:rPr>
                <w:b/>
                <w:sz w:val="20"/>
                <w:szCs w:val="20"/>
              </w:rPr>
              <w:t>Перечень документов</w:t>
            </w:r>
            <w:r w:rsidRPr="00406DAA">
              <w:rPr>
                <w:sz w:val="20"/>
                <w:szCs w:val="20"/>
              </w:rPr>
              <w:t>, подтверждающих нахождение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в трудной жизненной ситуации (при обращении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r w:rsidRPr="00205DE1">
              <w:rPr>
                <w:i/>
                <w:sz w:val="20"/>
                <w:szCs w:val="20"/>
              </w:rPr>
              <w:t>в</w:t>
            </w:r>
            <w:proofErr w:type="spellEnd"/>
            <w:r w:rsidRPr="00205DE1">
              <w:rPr>
                <w:i/>
                <w:sz w:val="20"/>
                <w:szCs w:val="20"/>
              </w:rPr>
              <w:t xml:space="preserve"> связи с проживанием в жилом помещении, находящемся в зоне чрезвычайной ситуации): </w:t>
            </w:r>
          </w:p>
          <w:p w:rsidR="00BC0C69" w:rsidRDefault="00BC0C69" w:rsidP="00BC0C69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gramStart"/>
            <w:r w:rsidRPr="00406DAA">
              <w:rPr>
                <w:sz w:val="20"/>
                <w:szCs w:val="20"/>
              </w:rPr>
              <w:t>документы об установлении фактов проживания Заемщика/</w:t>
            </w:r>
            <w:proofErr w:type="spellStart"/>
            <w:r w:rsidRPr="00406DAA">
              <w:rPr>
                <w:sz w:val="20"/>
                <w:szCs w:val="20"/>
              </w:rPr>
              <w:t>Созаемщика</w:t>
            </w:r>
            <w:proofErr w:type="spellEnd"/>
            <w:r w:rsidRPr="00406DAA">
              <w:rPr>
                <w:sz w:val="20"/>
                <w:szCs w:val="20"/>
              </w:rPr>
              <w:t xml:space="preserve">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 выдаваемые органами местного самоуправления, наделенными Федеральным законом № 68-ФЗ от 21.12.1994 года «О защите населения и территорий от </w:t>
            </w:r>
            <w:r w:rsidRPr="00406DAA">
              <w:rPr>
                <w:sz w:val="20"/>
                <w:szCs w:val="20"/>
              </w:rPr>
              <w:lastRenderedPageBreak/>
              <w:t xml:space="preserve">чрезвычайных ситуаций природного и техногенного характера». </w:t>
            </w:r>
            <w:proofErr w:type="gramEnd"/>
          </w:p>
          <w:p w:rsidR="00BC0C69" w:rsidRDefault="00BC0C69" w:rsidP="008631AE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:rsidR="00BC0C69" w:rsidRDefault="00BC0C69" w:rsidP="008631AE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370B16">
              <w:rPr>
                <w:rFonts w:ascii="Times New Roman" w:hAnsi="Times New Roman" w:cs="Times New Roman"/>
                <w:sz w:val="20"/>
                <w:szCs w:val="20"/>
              </w:rPr>
              <w:t xml:space="preserve">3. В случае </w:t>
            </w:r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соответствия требования Заемщика/</w:t>
            </w:r>
            <w:proofErr w:type="spellStart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 льготного периода, Кредитор, получивший требование Заемщика/</w:t>
            </w:r>
            <w:proofErr w:type="spellStart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Созаемщика</w:t>
            </w:r>
            <w:proofErr w:type="spellEnd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срок, не превышающий пяти рабочих дней, обязан рассмотреть указанное требование и в случае его соответствия требованиям сообщить </w:t>
            </w:r>
            <w:proofErr w:type="spellStart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Заемщику</w:t>
            </w:r>
            <w:proofErr w:type="gramStart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озаемщику</w:t>
            </w:r>
            <w:proofErr w:type="spellEnd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 изменении условий договора в соответствии с представленным Заемщиком/</w:t>
            </w:r>
            <w:proofErr w:type="spellStart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>Созаемщиком</w:t>
            </w:r>
            <w:proofErr w:type="spellEnd"/>
            <w:r w:rsidRPr="00370B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требованием, направив ему уведомление способом, предусмотренным договором, </w:t>
            </w:r>
            <w:r w:rsidRPr="00370B16">
              <w:rPr>
                <w:rFonts w:ascii="Times New Roman" w:hAnsi="Times New Roman" w:cs="Times New Roman"/>
                <w:sz w:val="20"/>
                <w:szCs w:val="20"/>
              </w:rPr>
              <w:t>или путем напра</w:t>
            </w:r>
            <w:r w:rsidRPr="0017346F">
              <w:rPr>
                <w:rFonts w:ascii="Times New Roman" w:hAnsi="Times New Roman" w:cs="Times New Roman"/>
                <w:sz w:val="20"/>
                <w:szCs w:val="20"/>
              </w:rPr>
              <w:t>вления требования по почте заказным письмом с уведомлением о вручении либо путем вручения требования под расписку.</w:t>
            </w:r>
          </w:p>
          <w:p w:rsidR="00BC0C69" w:rsidRDefault="00BC0C69" w:rsidP="008631AE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B03294">
              <w:rPr>
                <w:rFonts w:eastAsia="Times New Roman"/>
                <w:color w:val="auto"/>
                <w:sz w:val="20"/>
                <w:szCs w:val="20"/>
              </w:rPr>
              <w:t>4. В уведомлении Кредитора,  должна быть указана информация о максимальном размере суммы досрочного погашения обязательств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в течение льготного периода без его досрочного прекращения. В случае</w:t>
            </w:r>
            <w:proofErr w:type="gram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,</w:t>
            </w:r>
            <w:proofErr w:type="gram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если на день получения Кредитором требования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СозаемщикаКредитором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направлено в суд исковое требование о взыскании задолженности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(об обращении взыскания на предмет залога, обеспечивающий исполнение обязательств по договору потребительского кредита, и (или) о расторжении договора потребительского кредита, в уведомлении Кредитора должна содержаться информация о возможности досрочного прекращения льготного периода при наступлении обстоятельств, а именно вступления в силу </w:t>
            </w:r>
            <w:proofErr w:type="gram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постановления (акта) суда об утверждении мирового соглашения по предъявленному Кредитором исковому требованию о взыскании задолженности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(об обращении взыскания на предмет залога и (или) о расторжении договора потребительского кредита либо постановления (акта) суда о признании обоснованным заявления о признании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банкротом и введении реструктуризации его долгов или о признании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банкротом и введении реализации имущества гражданина, а</w:t>
            </w:r>
            <w:proofErr w:type="gram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также </w:t>
            </w:r>
            <w:proofErr w:type="gram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 даты включения</w:t>
            </w:r>
            <w:proofErr w:type="gram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в Единый федеральный реестр сведений о банкротстве сведений о признании Заемщика/</w:t>
            </w:r>
            <w:proofErr w:type="spellStart"/>
            <w:r w:rsidRPr="00B03294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банкротом.</w:t>
            </w: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5. </w:t>
            </w:r>
            <w:r w:rsidRPr="00370B16">
              <w:rPr>
                <w:rFonts w:eastAsia="Times New Roman"/>
                <w:color w:val="auto"/>
                <w:sz w:val="20"/>
                <w:szCs w:val="20"/>
              </w:rPr>
              <w:t>При несоответствии предоставленного требования Заемщика/</w:t>
            </w:r>
            <w:proofErr w:type="spell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370B16">
              <w:rPr>
                <w:rFonts w:eastAsia="Times New Roman"/>
                <w:color w:val="auto"/>
                <w:sz w:val="20"/>
                <w:szCs w:val="20"/>
              </w:rPr>
              <w:t xml:space="preserve"> условиям льготного периода, Кредитор вправе отказать Заемщику/</w:t>
            </w:r>
            <w:proofErr w:type="spell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Созаемщику</w:t>
            </w:r>
            <w:proofErr w:type="spellEnd"/>
            <w:r w:rsidRPr="00370B16">
              <w:rPr>
                <w:rFonts w:eastAsia="Times New Roman"/>
                <w:color w:val="auto"/>
                <w:sz w:val="20"/>
                <w:szCs w:val="20"/>
              </w:rPr>
              <w:t xml:space="preserve"> в удовлетворении его требования. Кредитор в течение пяти рабочих дней со дня получения требования Заемщика/</w:t>
            </w:r>
            <w:proofErr w:type="spell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370B16">
              <w:rPr>
                <w:rFonts w:eastAsia="Times New Roman"/>
                <w:color w:val="auto"/>
                <w:sz w:val="20"/>
                <w:szCs w:val="20"/>
              </w:rPr>
              <w:t xml:space="preserve"> обязан уведомить Заемщика/</w:t>
            </w:r>
            <w:proofErr w:type="spell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370B16">
              <w:rPr>
                <w:rFonts w:eastAsia="Times New Roman"/>
                <w:color w:val="auto"/>
                <w:sz w:val="20"/>
                <w:szCs w:val="20"/>
              </w:rPr>
              <w:t xml:space="preserve"> об отказе в удовлетворении его требования с указанием причины отказа одним из способов, предусмотренным </w:t>
            </w:r>
            <w:proofErr w:type="spell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договором</w:t>
            </w:r>
            <w:proofErr w:type="gramStart"/>
            <w:r w:rsidRPr="00370B16">
              <w:rPr>
                <w:rFonts w:eastAsia="Times New Roman"/>
                <w:color w:val="auto"/>
                <w:sz w:val="20"/>
                <w:szCs w:val="20"/>
              </w:rPr>
              <w:t>,</w:t>
            </w:r>
            <w:r w:rsidRPr="00370B16">
              <w:rPr>
                <w:color w:val="auto"/>
                <w:sz w:val="20"/>
                <w:szCs w:val="20"/>
              </w:rPr>
              <w:t>и</w:t>
            </w:r>
            <w:proofErr w:type="gramEnd"/>
            <w:r w:rsidRPr="00370B16">
              <w:rPr>
                <w:color w:val="auto"/>
                <w:sz w:val="20"/>
                <w:szCs w:val="20"/>
              </w:rPr>
              <w:t>ли</w:t>
            </w:r>
            <w:proofErr w:type="spellEnd"/>
            <w:r w:rsidRPr="00370B16">
              <w:rPr>
                <w:color w:val="auto"/>
                <w:sz w:val="20"/>
                <w:szCs w:val="20"/>
              </w:rPr>
              <w:t xml:space="preserve"> путем направления требования по почте заказным письмом с уведомлением о вручении либо путем вручения требования под расписку.</w:t>
            </w:r>
          </w:p>
          <w:p w:rsidR="00BC0C69" w:rsidRDefault="00BC0C69" w:rsidP="008631AE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6. 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в любой момент времени в течение льготного периода вправе прекратить действие льготного периода, направив </w:t>
            </w:r>
            <w:r>
              <w:rPr>
                <w:rFonts w:eastAsia="Times New Roman"/>
                <w:color w:val="auto"/>
                <w:sz w:val="20"/>
                <w:szCs w:val="20"/>
              </w:rPr>
              <w:t>К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редитору уведомление об этом способом, предусмотренным договором, или путем направления уведомления по почте заказным письмом с уведомлением о вручении</w:t>
            </w:r>
            <w:r>
              <w:rPr>
                <w:rFonts w:eastAsia="Times New Roman"/>
                <w:color w:val="auto"/>
                <w:sz w:val="20"/>
                <w:szCs w:val="20"/>
              </w:rPr>
              <w:t xml:space="preserve"> либо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путем вручения уведомления под расписку. Действие льготного периода считается прекращенным со дня получения </w:t>
            </w:r>
            <w:r>
              <w:rPr>
                <w:rFonts w:eastAsia="Times New Roman"/>
                <w:color w:val="auto"/>
                <w:sz w:val="20"/>
                <w:szCs w:val="20"/>
              </w:rPr>
              <w:t>К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редитор</w:t>
            </w:r>
            <w:r>
              <w:rPr>
                <w:rFonts w:eastAsia="Times New Roman"/>
                <w:color w:val="auto"/>
                <w:sz w:val="20"/>
                <w:szCs w:val="20"/>
              </w:rPr>
              <w:t>ом уведомления 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аемщика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. Кредитор обязан направить </w:t>
            </w:r>
            <w:r>
              <w:rPr>
                <w:rFonts w:eastAsia="Times New Roman"/>
                <w:color w:val="auto"/>
                <w:sz w:val="20"/>
                <w:szCs w:val="20"/>
              </w:rPr>
              <w:t>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аемщику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Созаемщику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одним из способов, </w:t>
            </w:r>
            <w:r w:rsidRPr="00BF4AA3">
              <w:rPr>
                <w:rFonts w:eastAsia="Times New Roman"/>
                <w:color w:val="auto"/>
                <w:sz w:val="20"/>
                <w:szCs w:val="20"/>
              </w:rPr>
              <w:t xml:space="preserve">предусмотренным </w:t>
            </w:r>
            <w:proofErr w:type="spellStart"/>
            <w:r w:rsidRPr="00BF4AA3">
              <w:rPr>
                <w:rFonts w:eastAsia="Times New Roman"/>
                <w:color w:val="auto"/>
                <w:sz w:val="20"/>
                <w:szCs w:val="20"/>
              </w:rPr>
              <w:t>договором</w:t>
            </w:r>
            <w:proofErr w:type="gramStart"/>
            <w:r w:rsidRPr="00B03294">
              <w:rPr>
                <w:rFonts w:eastAsia="Times New Roman"/>
                <w:color w:val="333333"/>
                <w:sz w:val="20"/>
                <w:szCs w:val="20"/>
              </w:rPr>
              <w:t>,</w:t>
            </w:r>
            <w:r w:rsidRPr="0017346F">
              <w:rPr>
                <w:sz w:val="20"/>
                <w:szCs w:val="20"/>
              </w:rPr>
              <w:t>и</w:t>
            </w:r>
            <w:proofErr w:type="gramEnd"/>
            <w:r w:rsidRPr="0017346F">
              <w:rPr>
                <w:sz w:val="20"/>
                <w:szCs w:val="20"/>
              </w:rPr>
              <w:t>ли</w:t>
            </w:r>
            <w:proofErr w:type="spellEnd"/>
            <w:r w:rsidRPr="0017346F">
              <w:rPr>
                <w:sz w:val="20"/>
                <w:szCs w:val="20"/>
              </w:rPr>
              <w:t xml:space="preserve"> путем направления требования по почте заказным письмом с уведомлением о вручении либо путем в</w:t>
            </w:r>
            <w:r>
              <w:rPr>
                <w:sz w:val="20"/>
                <w:szCs w:val="20"/>
              </w:rPr>
              <w:t xml:space="preserve">ручения требования под расписку, 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уточненный график платежей по договору не позднее пяти рабочих дней после дня получения уведомления </w:t>
            </w:r>
            <w:r>
              <w:rPr>
                <w:rFonts w:eastAsia="Times New Roman"/>
                <w:color w:val="auto"/>
                <w:sz w:val="20"/>
                <w:szCs w:val="20"/>
              </w:rPr>
              <w:t>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аемщика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. По договору потребительского кредита, предусматривающему предоставление потребительского кредита с лимитом кредитования, положения настоящей части о направлении </w:t>
            </w:r>
            <w:r>
              <w:rPr>
                <w:rFonts w:eastAsia="Times New Roman"/>
                <w:color w:val="auto"/>
                <w:sz w:val="20"/>
                <w:szCs w:val="20"/>
              </w:rPr>
              <w:t>К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редитором уточненного графика платежей не применяются.</w:t>
            </w:r>
          </w:p>
          <w:p w:rsidR="00BC0C69" w:rsidRDefault="00BC0C69" w:rsidP="008631AE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7. В 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случае неполучения </w:t>
            </w:r>
            <w:r>
              <w:rPr>
                <w:rFonts w:eastAsia="Times New Roman"/>
                <w:color w:val="auto"/>
                <w:sz w:val="20"/>
                <w:szCs w:val="20"/>
              </w:rPr>
              <w:t>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аемщиком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Созаемщиком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от </w:t>
            </w:r>
            <w:r>
              <w:rPr>
                <w:rFonts w:eastAsia="Times New Roman"/>
                <w:color w:val="auto"/>
                <w:sz w:val="20"/>
                <w:szCs w:val="20"/>
              </w:rPr>
              <w:t>К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редитора в течение десяти рабочих дней после дня направления требования уведомления об удовлетворении / отказе, льготный период считается ус</w:t>
            </w:r>
            <w:r>
              <w:rPr>
                <w:rFonts w:eastAsia="Times New Roman"/>
                <w:color w:val="auto"/>
                <w:sz w:val="20"/>
                <w:szCs w:val="20"/>
              </w:rPr>
              <w:t>тановленным со дня направления 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аемщиком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Созаемщиком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 xml:space="preserve"> требования </w:t>
            </w:r>
            <w:r>
              <w:rPr>
                <w:rFonts w:eastAsia="Times New Roman"/>
                <w:color w:val="auto"/>
                <w:sz w:val="20"/>
                <w:szCs w:val="20"/>
              </w:rPr>
              <w:t>Кредитору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, если иная дата начала льготного п</w:t>
            </w:r>
            <w:r>
              <w:rPr>
                <w:rFonts w:eastAsia="Times New Roman"/>
                <w:color w:val="auto"/>
                <w:sz w:val="20"/>
                <w:szCs w:val="20"/>
              </w:rPr>
              <w:t>ериода не указана в требовании З</w:t>
            </w:r>
            <w:r w:rsidRPr="00B03294">
              <w:rPr>
                <w:rFonts w:eastAsia="Times New Roman"/>
                <w:color w:val="auto"/>
                <w:sz w:val="20"/>
                <w:szCs w:val="20"/>
              </w:rPr>
              <w:t>аемщика</w:t>
            </w:r>
            <w:r>
              <w:rPr>
                <w:rFonts w:eastAsia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auto"/>
                <w:sz w:val="20"/>
                <w:szCs w:val="20"/>
              </w:rPr>
              <w:t>Созаемщика</w:t>
            </w:r>
            <w:proofErr w:type="spellEnd"/>
            <w:r w:rsidRPr="00B03294">
              <w:rPr>
                <w:rFonts w:eastAsia="Times New Roman"/>
                <w:color w:val="auto"/>
                <w:sz w:val="20"/>
                <w:szCs w:val="20"/>
              </w:rPr>
              <w:t>.</w:t>
            </w:r>
          </w:p>
          <w:p w:rsidR="00BC0C69" w:rsidRDefault="00BC0C69" w:rsidP="008631AE">
            <w:pPr>
              <w:pStyle w:val="Default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</w:p>
          <w:p w:rsidR="00BC0C69" w:rsidRPr="00554861" w:rsidRDefault="00BC0C69" w:rsidP="008631AE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247402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Если требование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>Заемщика/</w:t>
            </w:r>
            <w:proofErr w:type="spellStart"/>
            <w:r>
              <w:rPr>
                <w:rFonts w:eastAsia="Times New Roman"/>
                <w:b/>
                <w:color w:val="auto"/>
                <w:sz w:val="20"/>
                <w:szCs w:val="20"/>
              </w:rPr>
              <w:t>Созаемщика</w:t>
            </w:r>
            <w:proofErr w:type="spellEnd"/>
            <w:r w:rsidRPr="00247402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не соответствует условиям льготного периода, то Банк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lastRenderedPageBreak/>
              <w:t>«Нальчик» ООО</w:t>
            </w:r>
            <w:r w:rsidRPr="00247402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может рассмотреть обращение 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>Заемщика/</w:t>
            </w:r>
            <w:proofErr w:type="spellStart"/>
            <w:r>
              <w:rPr>
                <w:rFonts w:eastAsia="Times New Roman"/>
                <w:b/>
                <w:color w:val="auto"/>
                <w:sz w:val="20"/>
                <w:szCs w:val="20"/>
              </w:rPr>
              <w:t>Созаемщика</w:t>
            </w:r>
            <w:proofErr w:type="spellEnd"/>
            <w:r w:rsidRPr="00247402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по изменению договора</w:t>
            </w:r>
            <w:r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потребительского кредита</w:t>
            </w:r>
            <w:r w:rsidRPr="00247402">
              <w:rPr>
                <w:rFonts w:eastAsia="Times New Roman"/>
                <w:b/>
                <w:color w:val="auto"/>
                <w:sz w:val="20"/>
                <w:szCs w:val="20"/>
              </w:rPr>
              <w:t xml:space="preserve"> в индивидуальном порядке.</w:t>
            </w:r>
          </w:p>
          <w:p w:rsidR="00BC0C69" w:rsidRPr="00406DAA" w:rsidRDefault="00BC0C69" w:rsidP="008631AE">
            <w:pPr>
              <w:pStyle w:val="Default"/>
              <w:ind w:left="720"/>
              <w:jc w:val="both"/>
              <w:rPr>
                <w:sz w:val="20"/>
                <w:szCs w:val="20"/>
              </w:rPr>
            </w:pP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C69" w:rsidRDefault="00BC0C69" w:rsidP="008631AE">
            <w:pPr>
              <w:autoSpaceDE w:val="0"/>
              <w:autoSpaceDN w:val="0"/>
              <w:adjustRightInd w:val="0"/>
              <w:spacing w:after="0" w:line="240" w:lineRule="auto"/>
              <w:ind w:firstLine="3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0C69" w:rsidRDefault="00BC0C69" w:rsidP="008631AE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BC0C69" w:rsidRPr="00406DAA" w:rsidRDefault="00BC0C69" w:rsidP="008631AE">
            <w:pPr>
              <w:pStyle w:val="Default"/>
              <w:jc w:val="both"/>
              <w:rPr>
                <w:sz w:val="20"/>
                <w:szCs w:val="20"/>
                <w:highlight w:val="yellow"/>
              </w:rPr>
            </w:pPr>
          </w:p>
        </w:tc>
      </w:tr>
    </w:tbl>
    <w:p w:rsidR="00BC0C69" w:rsidRPr="0093114C" w:rsidRDefault="00BC0C69" w:rsidP="00BC0C69">
      <w:pPr>
        <w:pStyle w:val="Default"/>
      </w:pPr>
      <w:r>
        <w:lastRenderedPageBreak/>
        <w:br w:type="textWrapping" w:clear="all"/>
      </w:r>
    </w:p>
    <w:p w:rsidR="00BC0C69" w:rsidRDefault="00BC0C69" w:rsidP="00BC0C6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Cs/>
        </w:rPr>
        <w:br w:type="page"/>
      </w:r>
    </w:p>
    <w:p w:rsidR="00C94102" w:rsidRDefault="00C94102"/>
    <w:sectPr w:rsidR="00C94102" w:rsidSect="00BC0C6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2EE" w:rsidRDefault="001362EE" w:rsidP="00BC0C69">
      <w:pPr>
        <w:spacing w:after="0" w:line="240" w:lineRule="auto"/>
      </w:pPr>
      <w:r>
        <w:separator/>
      </w:r>
    </w:p>
  </w:endnote>
  <w:endnote w:type="continuationSeparator" w:id="0">
    <w:p w:rsidR="001362EE" w:rsidRDefault="001362EE" w:rsidP="00BC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2EE" w:rsidRDefault="001362EE" w:rsidP="00BC0C69">
      <w:pPr>
        <w:spacing w:after="0" w:line="240" w:lineRule="auto"/>
      </w:pPr>
      <w:r>
        <w:separator/>
      </w:r>
    </w:p>
  </w:footnote>
  <w:footnote w:type="continuationSeparator" w:id="0">
    <w:p w:rsidR="001362EE" w:rsidRDefault="001362EE" w:rsidP="00BC0C69">
      <w:pPr>
        <w:spacing w:after="0" w:line="240" w:lineRule="auto"/>
      </w:pPr>
      <w:r>
        <w:continuationSeparator/>
      </w:r>
    </w:p>
  </w:footnote>
  <w:footnote w:id="1">
    <w:p w:rsidR="00BC0C69" w:rsidRDefault="00BC0C69" w:rsidP="00BC0C69">
      <w:pPr>
        <w:pStyle w:val="a6"/>
      </w:pPr>
      <w:r>
        <w:rPr>
          <w:rStyle w:val="a8"/>
        </w:rPr>
        <w:footnoteRef/>
      </w:r>
      <w:r>
        <w:t xml:space="preserve"> 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6A5"/>
    <w:multiLevelType w:val="hybridMultilevel"/>
    <w:tmpl w:val="653068C6"/>
    <w:lvl w:ilvl="0" w:tplc="04190005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1">
    <w:nsid w:val="10954D12"/>
    <w:multiLevelType w:val="hybridMultilevel"/>
    <w:tmpl w:val="F386FE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C37B2"/>
    <w:multiLevelType w:val="hybridMultilevel"/>
    <w:tmpl w:val="C0BEDB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93"/>
    <w:rsid w:val="001362EE"/>
    <w:rsid w:val="00BC0C69"/>
    <w:rsid w:val="00C94102"/>
    <w:rsid w:val="00F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0C69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C6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BC0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BC0C69"/>
    <w:rPr>
      <w:color w:val="0000FF"/>
      <w:u w:val="single"/>
    </w:rPr>
  </w:style>
  <w:style w:type="paragraph" w:customStyle="1" w:styleId="Default">
    <w:name w:val="Default"/>
    <w:rsid w:val="00BC0C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BC0C69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0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C0C6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C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C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6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C0C69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C69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BC0C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BC0C69"/>
    <w:rPr>
      <w:color w:val="0000FF"/>
      <w:u w:val="single"/>
    </w:rPr>
  </w:style>
  <w:style w:type="paragraph" w:customStyle="1" w:styleId="Default">
    <w:name w:val="Default"/>
    <w:rsid w:val="00BC0C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BC0C69"/>
    <w:pPr>
      <w:autoSpaceDE w:val="0"/>
      <w:autoSpaceDN w:val="0"/>
      <w:spacing w:before="120"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C0C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BC0C69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C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C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53105&amp;dst=206" TargetMode="External"/><Relationship Id="rId18" Type="http://schemas.openxmlformats.org/officeDocument/2006/relationships/hyperlink" Target="https://login.consultant.ru/link/?req=doc&amp;base=LAW&amp;n=453105&amp;dst=20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3105&amp;dst=197" TargetMode="External"/><Relationship Id="rId17" Type="http://schemas.openxmlformats.org/officeDocument/2006/relationships/hyperlink" Target="https://login.consultant.ru/link/?req=doc&amp;base=LAW&amp;n=453105&amp;dst=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3105&amp;dst=206" TargetMode="External"/><Relationship Id="rId20" Type="http://schemas.openxmlformats.org/officeDocument/2006/relationships/hyperlink" Target="https://login.consultant.ru/link/?req=doc&amp;base=LAW&amp;n=453105&amp;dst=20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n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3105&amp;dst=205" TargetMode="External"/><Relationship Id="rId10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19" Type="http://schemas.openxmlformats.org/officeDocument/2006/relationships/hyperlink" Target="https://login.consultant.ru/link/?req=doc&amp;base=LAW&amp;n=453105&amp;dst=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nal.ru/?phpMyAdmin=c51c48cd1562t66904b7fr1a9b" TargetMode="External"/><Relationship Id="rId14" Type="http://schemas.openxmlformats.org/officeDocument/2006/relationships/hyperlink" Target="https://login.consultant.ru/link/?req=doc&amp;base=LAW&amp;n=453105&amp;dst=2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4792</Words>
  <Characters>27321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Эндреева Джамиля Борисовна</dc:creator>
  <cp:lastModifiedBy>Эндреева Джамиля Борисовна</cp:lastModifiedBy>
  <cp:revision>2</cp:revision>
  <dcterms:created xsi:type="dcterms:W3CDTF">2024-02-20T11:32:00Z</dcterms:created>
  <dcterms:modified xsi:type="dcterms:W3CDTF">2024-02-20T11:32:00Z</dcterms:modified>
</cp:coreProperties>
</file>