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EA" w:rsidRDefault="007050EA" w:rsidP="007050EA">
      <w:pPr>
        <w:pStyle w:val="a4"/>
        <w:spacing w:before="0" w:beforeAutospacing="0" w:after="0" w:afterAutospacing="0"/>
        <w:rPr>
          <w:b/>
          <w:bCs/>
        </w:rPr>
      </w:pPr>
      <w:bookmarkStart w:id="0" w:name="_Раздел_2._Перечень"/>
      <w:bookmarkEnd w:id="0"/>
      <w:r w:rsidRPr="006105BE">
        <w:rPr>
          <w:noProof/>
          <w:sz w:val="22"/>
          <w:szCs w:val="22"/>
        </w:rPr>
        <w:drawing>
          <wp:inline distT="0" distB="0" distL="0" distR="0">
            <wp:extent cx="257175" cy="230385"/>
            <wp:effectExtent l="0" t="0" r="0" b="0"/>
            <wp:docPr id="6" name="Рисунок 1" descr="C:\Users\Лена\AppData\Local\Microsoft\Windows\Temporary Internet Files\Content.Word\Макет_Банк-Нальчик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AppData\Local\Microsoft\Windows\Temporary Internet Files\Content.Word\Макет_Банк-Нальчик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5" cy="23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5BE">
        <w:rPr>
          <w:b/>
          <w:sz w:val="22"/>
          <w:szCs w:val="22"/>
        </w:rPr>
        <w:t>Банк «Нальчик» ООО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7050EA" w:rsidRDefault="007050EA" w:rsidP="007050EA">
      <w:pPr>
        <w:pStyle w:val="a4"/>
        <w:spacing w:before="0" w:beforeAutospacing="0" w:after="0" w:afterAutospacing="0"/>
      </w:pPr>
    </w:p>
    <w:p w:rsidR="007050EA" w:rsidRDefault="007050EA" w:rsidP="00705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4C5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предоставления, использования и возврата кредитных средств по </w:t>
      </w:r>
      <w:r w:rsidRPr="00BD54C5">
        <w:rPr>
          <w:rFonts w:ascii="Times New Roman" w:hAnsi="Times New Roman" w:cs="Times New Roman"/>
          <w:b/>
          <w:sz w:val="24"/>
          <w:szCs w:val="24"/>
          <w:u w:val="single"/>
        </w:rPr>
        <w:t>жилищным</w:t>
      </w:r>
      <w:r>
        <w:rPr>
          <w:rFonts w:ascii="Times New Roman" w:hAnsi="Times New Roman" w:cs="Times New Roman"/>
          <w:b/>
          <w:sz w:val="24"/>
          <w:szCs w:val="24"/>
        </w:rPr>
        <w:t xml:space="preserve"> кредитам,</w:t>
      </w:r>
      <w:r w:rsidRPr="00BD54C5">
        <w:rPr>
          <w:rFonts w:ascii="Times New Roman" w:hAnsi="Times New Roman" w:cs="Times New Roman"/>
          <w:b/>
          <w:sz w:val="24"/>
          <w:szCs w:val="24"/>
        </w:rPr>
        <w:t xml:space="preserve"> в Банке «Нальчик» ООО</w:t>
      </w:r>
    </w:p>
    <w:p w:rsidR="007050EA" w:rsidRPr="00BD54C5" w:rsidRDefault="007050EA" w:rsidP="007050E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(Начало действия:13.05.2022 г.)</w:t>
      </w:r>
    </w:p>
    <w:tbl>
      <w:tblPr>
        <w:tblW w:w="1484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0"/>
        <w:gridCol w:w="4365"/>
        <w:gridCol w:w="9994"/>
      </w:tblGrid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</w:pPr>
            <w:r>
              <w:t>№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</w:pPr>
            <w:r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125"/>
            </w:tblGrid>
            <w:tr w:rsidR="007050EA" w:rsidTr="002C67CF">
              <w:trPr>
                <w:trHeight w:val="345"/>
                <w:tblCellSpacing w:w="0" w:type="dxa"/>
              </w:trPr>
              <w:tc>
                <w:tcPr>
                  <w:tcW w:w="3915" w:type="dxa"/>
                  <w:hideMark/>
                </w:tcPr>
                <w:p w:rsidR="007050EA" w:rsidRDefault="007050EA" w:rsidP="002C67CF">
                  <w:pPr>
                    <w:pStyle w:val="a4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«Интернет», номер лицензии на осуществление банковских операций</w:t>
                  </w:r>
                </w:p>
              </w:tc>
            </w:tr>
          </w:tbl>
          <w:p w:rsidR="007050EA" w:rsidRDefault="007050EA" w:rsidP="002C6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720"/>
            </w:tblGrid>
            <w:tr w:rsidR="007050EA" w:rsidTr="002C67CF">
              <w:trPr>
                <w:trHeight w:val="570"/>
                <w:tblCellSpacing w:w="0" w:type="dxa"/>
              </w:trPr>
              <w:tc>
                <w:tcPr>
                  <w:tcW w:w="9510" w:type="dxa"/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Наименование кредитора: 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- полное наименование: БАНК «НАЛЬЧИК» (общество с ограниченной ответственностью);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сокращенное наименование: Банк «Нальчик» ООО (далее – Банк). 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Место нахождения постоянно действующего исполнительного органа: 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950445">
                    <w:rPr>
                      <w:color w:val="000000"/>
                      <w:sz w:val="20"/>
                      <w:szCs w:val="20"/>
                    </w:rPr>
                    <w:t>360022,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КБР, г. Нальчик, ул. Толстого, д. 77. 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Контактные телефоны: 8 (8662)77-34-11.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Официальный сайт Банка: </w:t>
                  </w:r>
                  <w:hyperlink r:id="rId6" w:history="1">
                    <w:r>
                      <w:rPr>
                        <w:rStyle w:val="a3"/>
                        <w:rFonts w:eastAsiaTheme="minorEastAsia"/>
                        <w:color w:val="023888"/>
                        <w:sz w:val="20"/>
                        <w:szCs w:val="20"/>
                      </w:rPr>
                      <w:t>http://bnal.ru</w:t>
                    </w:r>
                  </w:hyperlink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Базовая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на привлечение во вклады и размещение драгоценных металлов № 695 от 19.09.2018г. Выдана ЦБ РФ бессрочно.</w:t>
                  </w:r>
                </w:p>
              </w:tc>
            </w:tr>
          </w:tbl>
          <w:p w:rsidR="007050EA" w:rsidRDefault="007050EA" w:rsidP="002C67CF">
            <w:pPr>
              <w:jc w:val="both"/>
              <w:rPr>
                <w:sz w:val="24"/>
                <w:szCs w:val="24"/>
              </w:rPr>
            </w:pPr>
          </w:p>
        </w:tc>
      </w:tr>
      <w:tr w:rsidR="007050EA" w:rsidTr="002C67CF">
        <w:trPr>
          <w:trHeight w:val="58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125"/>
            </w:tblGrid>
            <w:tr w:rsidR="007050EA" w:rsidTr="002C67CF">
              <w:trPr>
                <w:trHeight w:val="105"/>
                <w:tblCellSpacing w:w="0" w:type="dxa"/>
              </w:trPr>
              <w:tc>
                <w:tcPr>
                  <w:tcW w:w="3915" w:type="dxa"/>
                  <w:hideMark/>
                </w:tcPr>
                <w:p w:rsidR="007050EA" w:rsidRDefault="007050EA" w:rsidP="002C67CF">
                  <w:pPr>
                    <w:pStyle w:val="a4"/>
                    <w:spacing w:line="105" w:lineRule="atLeast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заемщику, которые установлены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кредитором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и выполнение которых является обязательным для предоставления жилищного кредита</w:t>
                  </w:r>
                </w:p>
              </w:tc>
            </w:tr>
          </w:tbl>
          <w:p w:rsidR="007050EA" w:rsidRDefault="007050EA" w:rsidP="002C6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94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8940"/>
            </w:tblGrid>
            <w:tr w:rsidR="007050EA" w:rsidTr="002C67CF">
              <w:trPr>
                <w:trHeight w:val="346"/>
                <w:tblCellSpacing w:w="0" w:type="dxa"/>
              </w:trPr>
              <w:tc>
                <w:tcPr>
                  <w:tcW w:w="8730" w:type="dxa"/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заемщику: 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гражданство Российской Федерации; 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постоянная регистрация на территории РФ; 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>возраст на момент подачи Заявления-анкеты: не менее 20 лет;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>возраст на момент возврата кредита по договору: не более 75 лет;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стаж работы: </w:t>
                  </w:r>
                  <w:r>
                    <w:rPr>
                      <w:color w:val="262626"/>
                      <w:sz w:val="20"/>
                      <w:szCs w:val="20"/>
                    </w:rPr>
                    <w:t>не менее 6 месяцев на текущем месте работы;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подтверждение постоянного источника дохода; 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отсутствие отрицательной кредитной истории. 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рефинансируемому кредиту при оформлении продукта Рефинансирование: 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остаток срока действия кредита – не менее 3 месяцев; 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погашение задолженности ежемесячно; 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валюта кредита – рубли Российской Федерации; 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регулярное погашение задолженности по кредиту (кредитной карте) в течение последних 6 месяцев; </w:t>
                  </w:r>
                </w:p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отсутствие текущей просроченной задолженности по кредиту. </w:t>
                  </w:r>
                </w:p>
              </w:tc>
            </w:tr>
          </w:tbl>
          <w:p w:rsidR="007050EA" w:rsidRDefault="007050EA" w:rsidP="002C67CF">
            <w:pPr>
              <w:jc w:val="both"/>
              <w:rPr>
                <w:sz w:val="24"/>
                <w:szCs w:val="24"/>
              </w:rPr>
            </w:pP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Сроки рассмотрения оформленного заемщиком </w:t>
            </w:r>
            <w:r>
              <w:rPr>
                <w:color w:val="000000"/>
                <w:sz w:val="20"/>
                <w:szCs w:val="20"/>
              </w:rPr>
              <w:lastRenderedPageBreak/>
              <w:t>заявления о предоставлении жилищного кредита и принятия кредитором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Срок рассмотрения, оформленного заемщиком заявления о предоставлении кредита и принятия Банком решения </w:t>
            </w:r>
            <w:r>
              <w:rPr>
                <w:color w:val="000000"/>
                <w:sz w:val="20"/>
                <w:szCs w:val="20"/>
              </w:rPr>
              <w:lastRenderedPageBreak/>
              <w:t>относительно этого заявления — не более 5 рабочих дней со дня предоставления заемщиком полного пакета документов.</w:t>
            </w:r>
          </w:p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Минимальный перечень документов, необходимых для рассмотрения заявления о предоставлении кредита: </w:t>
            </w:r>
          </w:p>
          <w:p w:rsidR="007050EA" w:rsidRDefault="007050EA" w:rsidP="007050EA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заявление – анкета на получение кредита;</w:t>
            </w:r>
          </w:p>
          <w:p w:rsidR="007050EA" w:rsidRDefault="007050EA" w:rsidP="007050EA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паспорт гражданина Российской Федерации;</w:t>
            </w:r>
          </w:p>
          <w:p w:rsidR="007050EA" w:rsidRDefault="007050EA" w:rsidP="007050EA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страховое свидетельство государственного пенсионного страхования (СНИЛС);</w:t>
            </w:r>
          </w:p>
          <w:p w:rsidR="007050EA" w:rsidRDefault="007050EA" w:rsidP="007050EA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копия трудовой книжки / выписка из трудовой книжки / трудового договора (контракта) с последнего места работы (для физических лиц, в отношении которых законодательством Российской Федерации допускается отсутствие трудовой книжки);</w:t>
            </w:r>
          </w:p>
          <w:p w:rsidR="007050EA" w:rsidRPr="009F5F19" w:rsidRDefault="007050EA" w:rsidP="007050EA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документы, подтверждающие финансовое состояние и трудовую занятость;</w:t>
            </w:r>
          </w:p>
          <w:p w:rsidR="007050EA" w:rsidRPr="00BD4B4D" w:rsidRDefault="007050EA" w:rsidP="007050EA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4B4D">
              <w:rPr>
                <w:sz w:val="20"/>
                <w:szCs w:val="20"/>
              </w:rPr>
              <w:t>договор, в соответствии с которым осуществляется приобретение / инвестирование строительства объекта недвижимости</w:t>
            </w:r>
          </w:p>
          <w:p w:rsidR="007050EA" w:rsidRPr="00BD4B4D" w:rsidRDefault="007050EA" w:rsidP="002C67CF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Полный перечень документов приведен в Перечне документов, принимаемых от Заемщика/</w:t>
            </w:r>
            <w:proofErr w:type="spellStart"/>
            <w:r>
              <w:rPr>
                <w:color w:val="000000"/>
                <w:sz w:val="20"/>
                <w:szCs w:val="20"/>
              </w:rPr>
              <w:t>Созаемщика</w:t>
            </w:r>
            <w:proofErr w:type="spellEnd"/>
            <w:r>
              <w:rPr>
                <w:color w:val="000000"/>
                <w:sz w:val="20"/>
                <w:szCs w:val="20"/>
              </w:rPr>
              <w:t>/Поручителя, подтверждающих его финансовое состояние и трудовую занятость, а также требования к их оформлению.</w:t>
            </w: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>Виды жилищного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«Приобретение готового жилья»</w:t>
            </w:r>
          </w:p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«Приобретение строящегося жилья»</w:t>
            </w:r>
          </w:p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«Индивидуальное строительство жилья»</w:t>
            </w:r>
          </w:p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«Рефинансирование ипотеки»</w:t>
            </w: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Суммы жилищного кредита и сроки его возврата.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Pr="00A82771" w:rsidRDefault="007050EA" w:rsidP="002C67CF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кредита: от 500 тыс. руб. до 15 млн. руб. </w:t>
            </w:r>
          </w:p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Срок кредита: от  12  до 240 месяцев.</w:t>
            </w: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 xml:space="preserve">Валюты, в которых предоставляется жилищный кредит.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>Рубли Российской Федерации</w:t>
            </w: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>Способы предоставления жилищного кредита, в том числе с использованием заемщиком электронных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пл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атежа.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50EA" w:rsidRPr="00E91DB6" w:rsidRDefault="007050EA" w:rsidP="002C67CF">
            <w:pPr>
              <w:pStyle w:val="a4"/>
              <w:spacing w:before="0" w:beforeAutospacing="0" w:after="0" w:afterAutospacing="0"/>
              <w:jc w:val="both"/>
            </w:pPr>
            <w:r w:rsidRPr="00E91DB6">
              <w:rPr>
                <w:color w:val="000000"/>
                <w:sz w:val="20"/>
                <w:szCs w:val="20"/>
              </w:rPr>
              <w:t>Безналичное зачисление суммы кредита на текущий счет/ или счет вклада (депозита) Заемщика, открытые в Банке (далее – Счет кредитования).</w:t>
            </w:r>
          </w:p>
          <w:p w:rsidR="007050EA" w:rsidRPr="00E91DB6" w:rsidRDefault="007050EA" w:rsidP="002C67CF">
            <w:pPr>
              <w:pStyle w:val="a4"/>
              <w:spacing w:before="0" w:beforeAutospacing="0" w:after="0" w:afterAutospacing="0"/>
              <w:jc w:val="both"/>
            </w:pPr>
            <w:r w:rsidRPr="00E91DB6">
              <w:rPr>
                <w:color w:val="000000"/>
                <w:sz w:val="20"/>
                <w:szCs w:val="20"/>
              </w:rPr>
              <w:t>Кредит может быть предоставлен:</w:t>
            </w:r>
          </w:p>
          <w:p w:rsidR="007050EA" w:rsidRPr="00E91DB6" w:rsidRDefault="007050EA" w:rsidP="002C67CF">
            <w:pPr>
              <w:pStyle w:val="a4"/>
              <w:spacing w:before="0" w:beforeAutospacing="0" w:after="0" w:afterAutospacing="0"/>
              <w:jc w:val="both"/>
            </w:pPr>
            <w:r w:rsidRPr="00E91DB6">
              <w:rPr>
                <w:color w:val="000000"/>
                <w:sz w:val="20"/>
                <w:szCs w:val="20"/>
              </w:rPr>
              <w:t>- единовременно по заявлению Заемщика путем зачисления на Счет кредитования (при предоставлении Кредита на приобретение строящегося жилья, если договор приобретения предусматривает единовременную оплату стоимости Объекта недвижимости, а также на приобретение Объекта недвижимости);</w:t>
            </w:r>
          </w:p>
          <w:p w:rsidR="007050EA" w:rsidRPr="00E91DB6" w:rsidRDefault="007050EA" w:rsidP="002C67CF">
            <w:pPr>
              <w:pStyle w:val="a4"/>
              <w:spacing w:before="0" w:beforeAutospacing="0" w:after="0" w:afterAutospacing="0"/>
              <w:jc w:val="both"/>
            </w:pPr>
            <w:r w:rsidRPr="00E91DB6">
              <w:rPr>
                <w:color w:val="000000"/>
                <w:sz w:val="20"/>
                <w:szCs w:val="20"/>
              </w:rPr>
              <w:t xml:space="preserve">- частями по заявлению Заемщика путем зачисления на Счет кредитования в пределах неиспользованного остатка </w:t>
            </w:r>
            <w:proofErr w:type="spellStart"/>
            <w:r w:rsidRPr="00E91DB6">
              <w:rPr>
                <w:color w:val="000000"/>
                <w:sz w:val="20"/>
                <w:szCs w:val="20"/>
              </w:rPr>
              <w:t>невозобновляемой</w:t>
            </w:r>
            <w:proofErr w:type="spellEnd"/>
            <w:r w:rsidRPr="00E91DB6">
              <w:rPr>
                <w:color w:val="000000"/>
                <w:sz w:val="20"/>
                <w:szCs w:val="20"/>
              </w:rPr>
              <w:t xml:space="preserve"> кредитной линии (при предоставлении Кредита на приобретение строящегося жилья, если договором приобретения предусмотрена оплата стоимости Объекта недвижимости частями</w:t>
            </w:r>
            <w:r>
              <w:rPr>
                <w:color w:val="000000"/>
                <w:sz w:val="20"/>
                <w:szCs w:val="20"/>
              </w:rPr>
              <w:t>).</w:t>
            </w: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 xml:space="preserve">Процентные ставки в процентах годовых, а при применении переменных процентных ставок – порядок их определения, соответствующий требованиям Федерального закона № 353-ФЗ.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6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697"/>
              <w:gridCol w:w="4342"/>
              <w:gridCol w:w="1636"/>
            </w:tblGrid>
            <w:tr w:rsidR="007050EA" w:rsidTr="002C67CF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Процентная ставка (годовая)</w:t>
                  </w:r>
                </w:p>
              </w:tc>
            </w:tr>
            <w:tr w:rsidR="007050EA" w:rsidTr="002C67CF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«Приобретение готового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14,6 % - 17,2 %</w:t>
                  </w:r>
                </w:p>
              </w:tc>
            </w:tr>
            <w:tr w:rsidR="007050EA" w:rsidTr="002C67CF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15,2 % - 17,9 %</w:t>
                  </w:r>
                </w:p>
              </w:tc>
            </w:tr>
            <w:tr w:rsidR="007050EA" w:rsidTr="002C67CF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14,7 % – 17,4 %</w:t>
                  </w:r>
                </w:p>
              </w:tc>
            </w:tr>
            <w:tr w:rsidR="007050EA" w:rsidTr="002C67CF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14,3 % - 16,9 %</w:t>
                  </w:r>
                </w:p>
              </w:tc>
            </w:tr>
            <w:tr w:rsidR="007050EA" w:rsidTr="002C67CF">
              <w:trPr>
                <w:tblCellSpacing w:w="0" w:type="dxa"/>
              </w:trPr>
              <w:tc>
                <w:tcPr>
                  <w:tcW w:w="80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Надбавка за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непредоставление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документов, подтверждающих целевое использование (</w:t>
                  </w:r>
                  <w:r>
                    <w:rPr>
                      <w:color w:val="000000"/>
                      <w:sz w:val="15"/>
                      <w:szCs w:val="15"/>
                    </w:rPr>
                    <w:t>изменение ставки осуществляется в дату очередного ежемесячного платежа по погашению кредита</w:t>
                  </w:r>
                  <w:r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+ 2%</w:t>
                  </w:r>
                </w:p>
              </w:tc>
            </w:tr>
          </w:tbl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>Переменные процентные ставки – не применимо</w:t>
            </w:r>
          </w:p>
        </w:tc>
      </w:tr>
      <w:tr w:rsidR="007050EA" w:rsidTr="002C67CF">
        <w:trPr>
          <w:trHeight w:val="49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>Дата, начиная с которой начисляются проценты за пользование жилищным кредитом, или порядок ее определения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 w:rsidRPr="00CB5108">
              <w:rPr>
                <w:color w:val="000000"/>
                <w:sz w:val="20"/>
                <w:szCs w:val="20"/>
              </w:rPr>
              <w:t>Проценты за пользование кредитом начисляются со дня, следующего за днем зачисления суммы кредита на счет вклада (депозита) или текущий счет Заемщика, открытый в Банке.</w:t>
            </w: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 xml:space="preserve">Виды и суммы иных платежей заемщика по договору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>Не применимо.</w:t>
            </w: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 xml:space="preserve">Диапазоны значений полной стоимости жилищного кредита в процентах годовых, определенных с учетом требований Федерального закона № 353-ФЗ.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3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333"/>
              <w:gridCol w:w="3022"/>
            </w:tblGrid>
            <w:tr w:rsidR="007050EA" w:rsidTr="002C67CF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Диапазон ПСК в процентах годовых</w:t>
                  </w:r>
                </w:p>
              </w:tc>
            </w:tr>
            <w:tr w:rsidR="007050EA" w:rsidTr="002C67CF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«Приобретение готового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Pr="00C91D15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C91D15">
                    <w:rPr>
                      <w:sz w:val="20"/>
                      <w:szCs w:val="20"/>
                      <w:lang w:val="en-US"/>
                    </w:rPr>
                    <w:t>14,0</w:t>
                  </w:r>
                  <w:r w:rsidRPr="00C91D15">
                    <w:rPr>
                      <w:sz w:val="20"/>
                      <w:szCs w:val="20"/>
                    </w:rPr>
                    <w:t xml:space="preserve"> % - 19,0 %</w:t>
                  </w:r>
                </w:p>
              </w:tc>
            </w:tr>
            <w:tr w:rsidR="007050EA" w:rsidTr="002C67CF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Pr="00C91D15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C91D15">
                    <w:rPr>
                      <w:sz w:val="20"/>
                      <w:szCs w:val="20"/>
                      <w:lang w:val="en-US"/>
                    </w:rPr>
                    <w:t>14,6</w:t>
                  </w:r>
                  <w:r w:rsidRPr="00C91D15">
                    <w:rPr>
                      <w:sz w:val="20"/>
                      <w:szCs w:val="20"/>
                    </w:rPr>
                    <w:t xml:space="preserve"> % - </w:t>
                  </w:r>
                  <w:r w:rsidRPr="00C91D15">
                    <w:rPr>
                      <w:sz w:val="20"/>
                      <w:szCs w:val="20"/>
                      <w:lang w:val="en-US"/>
                    </w:rPr>
                    <w:t>18,1</w:t>
                  </w:r>
                  <w:r w:rsidRPr="00C91D15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7050EA" w:rsidTr="002C67CF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Pr="00C91D15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C91D15">
                    <w:rPr>
                      <w:sz w:val="20"/>
                      <w:szCs w:val="20"/>
                    </w:rPr>
                    <w:t xml:space="preserve">14,0 %  - </w:t>
                  </w:r>
                  <w:r w:rsidRPr="00C91D15">
                    <w:rPr>
                      <w:sz w:val="20"/>
                      <w:szCs w:val="20"/>
                      <w:lang w:val="en-US"/>
                    </w:rPr>
                    <w:t>18,5</w:t>
                  </w:r>
                  <w:r w:rsidRPr="00C91D15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7050EA" w:rsidTr="002C67CF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Pr="00C91D15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C91D15">
                    <w:rPr>
                      <w:sz w:val="20"/>
                      <w:szCs w:val="20"/>
                    </w:rPr>
                    <w:t xml:space="preserve">13,8 % - </w:t>
                  </w:r>
                  <w:r w:rsidRPr="00C91D15">
                    <w:rPr>
                      <w:sz w:val="20"/>
                      <w:szCs w:val="20"/>
                      <w:lang w:val="en-US"/>
                    </w:rPr>
                    <w:t>18,0</w:t>
                  </w:r>
                  <w:r w:rsidRPr="00C91D15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:rsidR="007050EA" w:rsidRDefault="007050EA" w:rsidP="002C67CF">
            <w:pPr>
              <w:jc w:val="both"/>
              <w:rPr>
                <w:sz w:val="24"/>
                <w:szCs w:val="24"/>
              </w:rPr>
            </w:pP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>Периодичность платежей заемщика при возврате жилищного кредита, уплате процентов и иных платежей по кредиту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 xml:space="preserve">Ежемесячно </w:t>
            </w:r>
            <w:proofErr w:type="spellStart"/>
            <w:r>
              <w:rPr>
                <w:sz w:val="20"/>
                <w:szCs w:val="20"/>
              </w:rPr>
              <w:t>аннуитетными</w:t>
            </w:r>
            <w:proofErr w:type="spellEnd"/>
            <w:r>
              <w:rPr>
                <w:sz w:val="20"/>
                <w:szCs w:val="20"/>
              </w:rPr>
              <w:t xml:space="preserve"> платежами в соответствии с графиком платежей, если иное не установлено индивидуальными условиями договора</w:t>
            </w: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Способы возврата заемщиком жилищного кредита, уплаты процентов по нему, включая бесплатный способ исполнения заемщиком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обязательств по договору жилищного кредита. </w:t>
            </w:r>
          </w:p>
          <w:p w:rsidR="007050EA" w:rsidRDefault="007050EA" w:rsidP="002C67CF">
            <w:pPr>
              <w:pStyle w:val="a4"/>
              <w:jc w:val="both"/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lastRenderedPageBreak/>
              <w:t>Исполнение заемщиком обязательств по кредитному договору может осуществляться следующими способами:</w:t>
            </w:r>
          </w:p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наличных денежных средств на Счет кредитования в Офисе Банка – бесплатный способ;</w:t>
            </w:r>
          </w:p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перечисление денежных средств с иного счета заемщика, открытого в Банке на Счет кредитования – бесплатный способ;</w:t>
            </w:r>
          </w:p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lastRenderedPageBreak/>
              <w:t>- внесение наличных денежных сре</w:t>
            </w:r>
            <w:proofErr w:type="gramStart"/>
            <w:r>
              <w:rPr>
                <w:sz w:val="20"/>
                <w:szCs w:val="20"/>
              </w:rPr>
              <w:t>дств в к</w:t>
            </w:r>
            <w:proofErr w:type="gramEnd"/>
            <w:r>
              <w:rPr>
                <w:sz w:val="20"/>
                <w:szCs w:val="20"/>
              </w:rPr>
              <w:t>ассу Банка (включая кассы дополнительных офисов Банка) – бесплатный способ;</w:t>
            </w:r>
          </w:p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денежных средств на Счет кредитования через терминалы самообслуживания, в которых установлен платежный сервис QIWI;</w:t>
            </w:r>
          </w:p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денежных средств на Счет кредитования через счета, открытые в иных кредитных организациях в безналичном порядке;</w:t>
            </w:r>
          </w:p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с помощью Платежной системы </w:t>
            </w:r>
            <w:r>
              <w:rPr>
                <w:sz w:val="20"/>
                <w:szCs w:val="20"/>
                <w:lang w:val="en-US"/>
              </w:rPr>
              <w:t>CONTACT</w:t>
            </w:r>
            <w:r>
              <w:rPr>
                <w:sz w:val="20"/>
                <w:szCs w:val="20"/>
              </w:rPr>
              <w:t>.</w:t>
            </w: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Сроки, в течение которых заемщик вправе отказаться от получения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 xml:space="preserve">Заемщик вправе отказаться от получения кредита полностью или частично в любой момент до заключения Договора, уведомив об этом Банк до </w:t>
            </w:r>
            <w:proofErr w:type="gramStart"/>
            <w:r>
              <w:rPr>
                <w:sz w:val="20"/>
                <w:szCs w:val="20"/>
              </w:rPr>
              <w:t>истечения</w:t>
            </w:r>
            <w:proofErr w:type="gramEnd"/>
            <w:r>
              <w:rPr>
                <w:sz w:val="20"/>
                <w:szCs w:val="20"/>
              </w:rPr>
              <w:t xml:space="preserve"> установленного договором жилищного кредита срока его предоставления (до зачисления денежных средств на Счет кредитования или до выдачи наличных через кассу Банка).</w:t>
            </w:r>
          </w:p>
        </w:tc>
      </w:tr>
      <w:tr w:rsidR="007050EA" w:rsidTr="002C67CF">
        <w:trPr>
          <w:trHeight w:val="1984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Способы обеспечения исполнения обязательств по договору жилищного кредита. </w:t>
            </w:r>
          </w:p>
          <w:p w:rsidR="007050EA" w:rsidRDefault="007050EA" w:rsidP="002C67CF">
            <w:pPr>
              <w:pStyle w:val="a4"/>
              <w:jc w:val="both"/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942"/>
              <w:gridCol w:w="5796"/>
            </w:tblGrid>
            <w:tr w:rsidR="007050EA" w:rsidTr="002C67CF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9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Обеспечение</w:t>
                  </w:r>
                </w:p>
              </w:tc>
            </w:tr>
            <w:tr w:rsidR="007050EA" w:rsidTr="002C67CF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«Приобретение готового жилья»</w:t>
                  </w:r>
                </w:p>
              </w:tc>
              <w:tc>
                <w:tcPr>
                  <w:tcW w:w="297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Pr="006104FC" w:rsidRDefault="007050EA" w:rsidP="002C67CF">
                  <w:pPr>
                    <w:spacing w:after="0" w:line="240" w:lineRule="auto"/>
                    <w:ind w:right="-249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04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Залог приобретаемого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Объекта </w:t>
                  </w:r>
                  <w:r w:rsidRPr="006104F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недвижимого имущества. </w:t>
                  </w:r>
                </w:p>
                <w:p w:rsidR="007050EA" w:rsidRPr="006104FC" w:rsidRDefault="007050EA" w:rsidP="002C67C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104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Возможно дополнительное обеспечение в виде залога иного имущества, отличного от приобретаемого, и/или поручительства;</w:t>
                  </w:r>
                </w:p>
              </w:tc>
            </w:tr>
            <w:tr w:rsidR="007050EA" w:rsidTr="002C67CF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050EA" w:rsidTr="002C67CF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050EA" w:rsidTr="002C67CF">
              <w:trPr>
                <w:trHeight w:val="2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50EA" w:rsidRDefault="007050EA" w:rsidP="002C67CF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050EA" w:rsidRDefault="007050EA" w:rsidP="002C67C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050EA" w:rsidTr="002C67CF">
        <w:trPr>
          <w:trHeight w:val="1473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Ответственность заемщика за ненадлежащее исполнение договора жилищного кредита, размеры неустойки (штрафа, пени), порядок ее расчета, а также информация о том, в каких случаях данные санкции могут быть применены.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rPr>
                <w:sz w:val="20"/>
                <w:szCs w:val="20"/>
              </w:rPr>
              <w:t xml:space="preserve">За несвоевременное погашение кредита с заемщика взимается неустойка в размере ключевой </w:t>
            </w:r>
            <w:hyperlink r:id="rId7" w:history="1">
              <w:r w:rsidRPr="0051599E">
                <w:rPr>
                  <w:sz w:val="20"/>
                  <w:szCs w:val="20"/>
                </w:rPr>
                <w:t>ставки</w:t>
              </w:r>
            </w:hyperlink>
            <w:r>
              <w:rPr>
                <w:sz w:val="20"/>
                <w:szCs w:val="20"/>
              </w:rPr>
              <w:t xml:space="preserve"> Центрального банка Российской Федерации, действовавшей на день заключения соответствующего договора,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жилищного кредита, по дату погашения просроченной задолженности по основному долгу (включительно).</w:t>
            </w:r>
            <w:proofErr w:type="gramEnd"/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об иных договорах, которые заемщик обязан заключить, и (или) иных услугах, которые он обязан получить в связи с договором жилищного кредита, а также информация о возможности заемщика согласиться с заключением таких договоров и (или) оказанием таких услуг либо отказаться от них.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>В случае отсутствия открытого в Банке Счета кредитования на момент обращения Заемщика за предоставлением потребительского кредита, Заемщик обязан заключить договор текущего счета. При этом Заемщик может отказаться от заключения такого договора.</w:t>
            </w:r>
          </w:p>
          <w:p w:rsidR="007050EA" w:rsidRDefault="007050EA" w:rsidP="002C67CF">
            <w:pPr>
              <w:pStyle w:val="a4"/>
              <w:jc w:val="both"/>
            </w:pP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Информация:</w:t>
            </w:r>
          </w:p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о возможном увеличении суммы расходов </w:t>
            </w:r>
            <w:r>
              <w:rPr>
                <w:sz w:val="20"/>
                <w:szCs w:val="20"/>
              </w:rPr>
              <w:lastRenderedPageBreak/>
              <w:t xml:space="preserve">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будущем,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</w:p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lastRenderedPageBreak/>
              <w:t>Не применимо</w:t>
            </w:r>
          </w:p>
        </w:tc>
      </w:tr>
      <w:tr w:rsidR="007050EA" w:rsidTr="002C67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0EA" w:rsidRDefault="007050EA" w:rsidP="002C6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- о повышенных рисках заемщика, получающего доходы в валюте, отличной от валюты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 xml:space="preserve">Банк предупреждает о повышенных рисках Заемщика, получающего доходы в валюте, отличной от валюты кредита. </w:t>
            </w: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>Информация об определении курса иностранной валюты в случае, если валюта, в которой осуществляется перевод денежных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едитором третьему лицу, указанному заемщиком при предоставлении жилищного кредита, может отличаться от валюты потребительского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Не применимо</w:t>
            </w: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 возможности запрета уступки кредитором третьим лицам прав (требований) по договору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Заемщик при заключении Договора имеет право запретить Банку уступку прав (требований) по Договору третьим лицам. </w:t>
            </w: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Порядок предоставления заемщиком информации об использовании жилищного кредита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Pr="00A537D5" w:rsidRDefault="007050EA" w:rsidP="002C67CF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537D5">
              <w:rPr>
                <w:sz w:val="20"/>
                <w:szCs w:val="20"/>
              </w:rPr>
              <w:t xml:space="preserve">По жилищным кредитам, заемщиком </w:t>
            </w:r>
            <w:proofErr w:type="gramStart"/>
            <w:r w:rsidRPr="00A537D5">
              <w:rPr>
                <w:sz w:val="20"/>
                <w:szCs w:val="20"/>
              </w:rPr>
              <w:t>предоставляются документы</w:t>
            </w:r>
            <w:proofErr w:type="gramEnd"/>
            <w:r w:rsidRPr="00A537D5">
              <w:rPr>
                <w:sz w:val="20"/>
                <w:szCs w:val="20"/>
              </w:rPr>
              <w:t>, подтверждающие их целевое использование.</w:t>
            </w:r>
          </w:p>
          <w:p w:rsidR="007050EA" w:rsidRPr="00A537D5" w:rsidRDefault="007050EA" w:rsidP="002C67CF">
            <w:pPr>
              <w:pStyle w:val="a4"/>
              <w:spacing w:before="0" w:beforeAutospacing="0" w:after="0" w:afterAutospacing="0"/>
              <w:jc w:val="both"/>
            </w:pPr>
            <w:r w:rsidRPr="00A537D5">
              <w:rPr>
                <w:sz w:val="20"/>
                <w:szCs w:val="20"/>
              </w:rPr>
              <w:t>По жилищным кредитам на «Рефинансирование ипотеки» в качестве подтверждения целевого использования предоставляется справка (выписка) о полном погашении задолженности по кредиту в другой кредитной организации в сроки, установленные кредитным договором.</w:t>
            </w: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Подсудность споров по искам кредитора к заемщику.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Споры по договору жилищного кредита рассматриваются в установленном законодательством Российской Федерации судебном порядке. Наименование суда указывается в Индивидуальных условиях договора жилищного кредита.</w:t>
            </w:r>
          </w:p>
        </w:tc>
      </w:tr>
      <w:tr w:rsidR="007050EA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jc w:val="both"/>
            </w:pPr>
            <w:r>
              <w:rPr>
                <w:color w:val="000000"/>
                <w:sz w:val="20"/>
                <w:szCs w:val="20"/>
              </w:rPr>
              <w:t>Формуляры или иные стандартные формы, в которых определены общие условия договора жилищного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Общие условия договора жилищного кредита размещены:</w:t>
            </w:r>
          </w:p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- в местах оказания услуг по адресу: КБР, г. Нальчик, ул. Толстого, д. 77;</w:t>
            </w:r>
          </w:p>
          <w:p w:rsidR="007050EA" w:rsidRDefault="007050EA" w:rsidP="002C67C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- на сайте Банка по адресу: </w:t>
            </w:r>
            <w:hyperlink r:id="rId8" w:history="1">
              <w:r>
                <w:rPr>
                  <w:rStyle w:val="a3"/>
                  <w:rFonts w:eastAsiaTheme="minorEastAsia"/>
                  <w:sz w:val="20"/>
                  <w:szCs w:val="20"/>
                </w:rPr>
                <w:t>http://bnal.ru</w:t>
              </w:r>
            </w:hyperlink>
          </w:p>
        </w:tc>
      </w:tr>
    </w:tbl>
    <w:p w:rsidR="009D5F7C" w:rsidRDefault="009D5F7C"/>
    <w:sectPr w:rsidR="009D5F7C" w:rsidSect="007050EA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10F81"/>
    <w:multiLevelType w:val="multilevel"/>
    <w:tmpl w:val="02E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0F2F2A"/>
    <w:multiLevelType w:val="hybridMultilevel"/>
    <w:tmpl w:val="42621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50EA"/>
    <w:rsid w:val="007050EA"/>
    <w:rsid w:val="009D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050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0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0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nal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8440786A1A56BC3F776435190EF502A8F479BF2A55A7402BF1FB9D5822175559E853C58308B7B032C41EBEC897DBF50F6B9FA9F1BFB8p7Q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nal.ru/?phpMyAdmin=c51c48cd1562t66904b7fr1a9b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1734</Words>
  <Characters>9884</Characters>
  <Application>Microsoft Office Word</Application>
  <DocSecurity>0</DocSecurity>
  <Lines>82</Lines>
  <Paragraphs>23</Paragraphs>
  <ScaleCrop>false</ScaleCrop>
  <Company/>
  <LinksUpToDate>false</LinksUpToDate>
  <CharactersWithSpaces>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ОВК</dc:creator>
  <cp:keywords/>
  <dc:description/>
  <cp:lastModifiedBy>ОВК</cp:lastModifiedBy>
  <cp:revision>2</cp:revision>
  <dcterms:created xsi:type="dcterms:W3CDTF">2022-05-13T09:57:00Z</dcterms:created>
  <dcterms:modified xsi:type="dcterms:W3CDTF">2022-05-13T10:01:00Z</dcterms:modified>
</cp:coreProperties>
</file>