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00" w:rsidRDefault="00F40200" w:rsidP="00F4020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(Действует с 15.06.2022)</w:t>
      </w:r>
    </w:p>
    <w:p w:rsidR="00F40200" w:rsidRDefault="00F40200" w:rsidP="00F40200">
      <w:pPr>
        <w:pStyle w:val="a3"/>
        <w:spacing w:before="0" w:beforeAutospacing="0" w:after="0" w:afterAutospacing="0"/>
        <w:rPr>
          <w:b/>
          <w:bCs/>
        </w:rPr>
      </w:pPr>
      <w:r w:rsidRPr="006105BE">
        <w:rPr>
          <w:noProof/>
          <w:sz w:val="22"/>
          <w:szCs w:val="22"/>
        </w:rPr>
        <w:drawing>
          <wp:inline distT="0" distB="0" distL="0" distR="0" wp14:anchorId="78797F28" wp14:editId="68100795">
            <wp:extent cx="257175" cy="230385"/>
            <wp:effectExtent l="0" t="0" r="0" b="0"/>
            <wp:docPr id="6" name="Рисунок 1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5" cy="2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5BE">
        <w:rPr>
          <w:b/>
          <w:sz w:val="22"/>
          <w:szCs w:val="22"/>
        </w:rPr>
        <w:t>Банк «Нальчик» ООО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40200" w:rsidRDefault="00F40200" w:rsidP="00F40200">
      <w:pPr>
        <w:pStyle w:val="a3"/>
        <w:spacing w:before="0" w:beforeAutospacing="0" w:after="0" w:afterAutospacing="0"/>
      </w:pPr>
    </w:p>
    <w:p w:rsidR="00F40200" w:rsidRPr="00BD54C5" w:rsidRDefault="00F40200" w:rsidP="00F40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C5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BD54C5">
        <w:rPr>
          <w:rFonts w:ascii="Times New Roman" w:hAnsi="Times New Roman" w:cs="Times New Roman"/>
          <w:b/>
          <w:sz w:val="24"/>
          <w:szCs w:val="24"/>
          <w:u w:val="single"/>
        </w:rPr>
        <w:t>жилищным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кредитам</w:t>
      </w:r>
      <w:r w:rsidRPr="00BD54C5">
        <w:rPr>
          <w:rFonts w:ascii="Times New Roman" w:hAnsi="Times New Roman" w:cs="Times New Roman"/>
          <w:b/>
          <w:sz w:val="24"/>
          <w:szCs w:val="24"/>
        </w:rPr>
        <w:t xml:space="preserve"> в Банке «Нальчик» ООО</w:t>
      </w:r>
    </w:p>
    <w:tbl>
      <w:tblPr>
        <w:tblW w:w="148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94"/>
      </w:tblGrid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</w:pPr>
            <w:r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F40200" w:rsidTr="00283732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F40200" w:rsidRDefault="00F40200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F40200" w:rsidRDefault="00F40200" w:rsidP="002837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F40200" w:rsidTr="00283732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950445">
                    <w:rPr>
                      <w:color w:val="000000"/>
                      <w:sz w:val="20"/>
                      <w:szCs w:val="20"/>
                    </w:rPr>
                    <w:t>360022,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КБР, г. Нальчик, ул. Толстого, д. 77.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Контактные телефоны: 8 (8662)77-34-11.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10" w:history="1">
                    <w:r>
                      <w:rPr>
                        <w:rStyle w:val="a4"/>
                        <w:rFonts w:eastAsiaTheme="minorEastAsia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F40200" w:rsidRDefault="00F40200" w:rsidP="00283732">
            <w:pPr>
              <w:jc w:val="both"/>
              <w:rPr>
                <w:sz w:val="24"/>
                <w:szCs w:val="24"/>
              </w:rPr>
            </w:pPr>
          </w:p>
        </w:tc>
      </w:tr>
      <w:tr w:rsidR="00F40200" w:rsidTr="00283732">
        <w:trPr>
          <w:trHeight w:val="58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F40200" w:rsidTr="00283732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F40200" w:rsidRDefault="00F40200" w:rsidP="00283732">
                  <w:pPr>
                    <w:pStyle w:val="a3"/>
                    <w:spacing w:line="105" w:lineRule="atLeast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жилищного кредита</w:t>
                  </w:r>
                </w:p>
              </w:tc>
            </w:tr>
          </w:tbl>
          <w:p w:rsidR="00F40200" w:rsidRDefault="00F40200" w:rsidP="002837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F40200" w:rsidTr="00283732">
              <w:trPr>
                <w:trHeight w:val="346"/>
                <w:tblCellSpacing w:w="0" w:type="dxa"/>
              </w:trPr>
              <w:tc>
                <w:tcPr>
                  <w:tcW w:w="8730" w:type="dxa"/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F40200" w:rsidRDefault="00F40200" w:rsidP="00283732">
            <w:pPr>
              <w:jc w:val="both"/>
              <w:rPr>
                <w:sz w:val="24"/>
                <w:szCs w:val="24"/>
              </w:rPr>
            </w:pP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 рассмотрения оформленного заемщиком </w:t>
            </w:r>
            <w:r>
              <w:rPr>
                <w:color w:val="000000"/>
                <w:sz w:val="20"/>
                <w:szCs w:val="20"/>
              </w:rPr>
              <w:lastRenderedPageBreak/>
              <w:t>заявления о предоставлении жилищного 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Срок рассмотрения, оформленного заемщиком заявления о предоставлении кредита и принятия Банком решения </w:t>
            </w:r>
            <w:r>
              <w:rPr>
                <w:color w:val="000000"/>
                <w:sz w:val="20"/>
                <w:szCs w:val="20"/>
              </w:rPr>
              <w:lastRenderedPageBreak/>
              <w:t>относительно этого заявления — не более 5 рабочих дней со дня предоставления заемщиком полного пакета документов.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F40200" w:rsidRDefault="00F40200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F40200" w:rsidRDefault="00F40200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F40200" w:rsidRDefault="00F40200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F40200" w:rsidRDefault="00F40200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F40200" w:rsidRPr="009F5F19" w:rsidRDefault="00F40200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документы, подтверждающие финансовое состояние и трудовую занятость;</w:t>
            </w:r>
          </w:p>
          <w:p w:rsidR="00F40200" w:rsidRPr="00BD4B4D" w:rsidRDefault="00F40200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4B4D">
              <w:rPr>
                <w:sz w:val="20"/>
                <w:szCs w:val="20"/>
              </w:rPr>
              <w:t>договор, в соответствии с которым осуществляется приобретение / инвестирование строительства объекта недвижимости</w:t>
            </w:r>
          </w:p>
          <w:p w:rsidR="00F40200" w:rsidRPr="00BD4B4D" w:rsidRDefault="00F40200" w:rsidP="002837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Полный перечень документов приведен в Перечне документов, принимаемых от Заемщика/</w:t>
            </w:r>
            <w:proofErr w:type="spellStart"/>
            <w:r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Виды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«Приобретение готового жилья»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«Приобретение строящегося жилья»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«Индивидуальное строительство жилья»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«Рефинансирование ипотеки»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Суммы жилищного кредита и сроки его возврата.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Pr="00A82771" w:rsidRDefault="00F40200" w:rsidP="00283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кредита: от 500 тыс. руб. до 15 млн. руб. 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Срок кредита: от  12  до 240 месяцев.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Валюты, в которых предоставляется жилищный кредит.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Способы предоставления жилищного кредита, в том числе с использованием заемщиком электронных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пл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0200" w:rsidRPr="00E91DB6" w:rsidRDefault="00F40200" w:rsidP="00283732">
            <w:pPr>
              <w:pStyle w:val="a3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кредитования).</w:t>
            </w:r>
          </w:p>
          <w:p w:rsidR="00F40200" w:rsidRPr="00E91DB6" w:rsidRDefault="00F40200" w:rsidP="00283732">
            <w:pPr>
              <w:pStyle w:val="a3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F40200" w:rsidRPr="00E91DB6" w:rsidRDefault="00F40200" w:rsidP="00283732">
            <w:pPr>
              <w:pStyle w:val="a3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- единовременно по заявлению Заемщика путем зачисления на Счет кредитования (при предоставлении Кредита на приобретение строящегося жилья, если договор приобретения предусматривает единовременную оплату стоимости Объекта недвижимости, а также на приобретение Объекта недвижимости);</w:t>
            </w:r>
          </w:p>
          <w:p w:rsidR="00F40200" w:rsidRPr="00E91DB6" w:rsidRDefault="00F40200" w:rsidP="00283732">
            <w:pPr>
              <w:pStyle w:val="a3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 xml:space="preserve">- частями по заявлению Заемщика путем зачисления на Счет кредитования в пределах неиспользованного остатка </w:t>
            </w:r>
            <w:proofErr w:type="spellStart"/>
            <w:r w:rsidRPr="00E91DB6">
              <w:rPr>
                <w:color w:val="000000"/>
                <w:sz w:val="20"/>
                <w:szCs w:val="20"/>
              </w:rPr>
              <w:t>невозобновляемой</w:t>
            </w:r>
            <w:proofErr w:type="spellEnd"/>
            <w:r w:rsidRPr="00E91DB6">
              <w:rPr>
                <w:color w:val="000000"/>
                <w:sz w:val="20"/>
                <w:szCs w:val="20"/>
              </w:rPr>
              <w:t xml:space="preserve"> кредитной линии (при предоставлении Кредита на приобретение строящегося жилья, если договором приобретения предусмотрена оплата стоимости Объекта недвижимости частями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порядок их определения, соответствующий требованиям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F40200" w:rsidTr="00283732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Кредитный продукт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F40200" w:rsidTr="00283732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«Приобретение готового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Pr="00E00DB3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</w:rPr>
                    <w:t>11,0 % - 13,8 %</w:t>
                  </w:r>
                </w:p>
              </w:tc>
            </w:tr>
            <w:tr w:rsidR="00F40200" w:rsidTr="00283732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Pr="00E00DB3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</w:rPr>
                    <w:t>11,4 % - 14,1 %</w:t>
                  </w:r>
                </w:p>
              </w:tc>
            </w:tr>
            <w:tr w:rsidR="00F40200" w:rsidTr="00283732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Pr="00E00DB3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00DB3">
                    <w:rPr>
                      <w:color w:val="000000"/>
                      <w:sz w:val="20"/>
                      <w:szCs w:val="20"/>
                    </w:rPr>
                    <w:t>11,2 % – 13,5 %</w:t>
                  </w:r>
                </w:p>
              </w:tc>
            </w:tr>
            <w:tr w:rsidR="00F40200" w:rsidTr="00283732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Pr="00E00DB3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</w:rPr>
                    <w:t>10,8 % - 13,1 %</w:t>
                  </w:r>
                </w:p>
              </w:tc>
            </w:tr>
            <w:tr w:rsidR="00F40200" w:rsidTr="00283732">
              <w:trPr>
                <w:tblCellSpacing w:w="0" w:type="dxa"/>
              </w:trPr>
              <w:tc>
                <w:tcPr>
                  <w:tcW w:w="80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F40200" w:rsidTr="00283732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жилищным кредитом, или порядок ее определения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 w:rsidRPr="00CB5108"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Банке.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Не применимо.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Диапазоны значений полной стоимости жилищного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F40200" w:rsidTr="00283732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F40200" w:rsidTr="00283732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Pr="00E00DB3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sz w:val="20"/>
                      <w:szCs w:val="20"/>
                      <w:lang w:val="en-US"/>
                    </w:rPr>
                    <w:t>1</w:t>
                  </w:r>
                  <w:r w:rsidRPr="00E00DB3">
                    <w:rPr>
                      <w:sz w:val="20"/>
                      <w:szCs w:val="20"/>
                    </w:rPr>
                    <w:t>0</w:t>
                  </w:r>
                  <w:r w:rsidRPr="00E00DB3">
                    <w:rPr>
                      <w:sz w:val="20"/>
                      <w:szCs w:val="20"/>
                      <w:lang w:val="en-US"/>
                    </w:rPr>
                    <w:t>,</w:t>
                  </w:r>
                  <w:r w:rsidRPr="00E00DB3">
                    <w:rPr>
                      <w:sz w:val="20"/>
                      <w:szCs w:val="20"/>
                    </w:rPr>
                    <w:t>5 % - 15,3 %</w:t>
                  </w:r>
                </w:p>
              </w:tc>
            </w:tr>
            <w:tr w:rsidR="00F40200" w:rsidTr="00283732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Pr="00E00DB3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E00DB3">
                    <w:rPr>
                      <w:sz w:val="20"/>
                      <w:szCs w:val="20"/>
                      <w:lang w:val="en-US"/>
                    </w:rPr>
                    <w:t>1</w:t>
                  </w:r>
                  <w:r w:rsidRPr="00E00DB3">
                    <w:rPr>
                      <w:sz w:val="20"/>
                      <w:szCs w:val="20"/>
                    </w:rPr>
                    <w:t>1</w:t>
                  </w:r>
                  <w:r w:rsidRPr="00E00DB3">
                    <w:rPr>
                      <w:sz w:val="20"/>
                      <w:szCs w:val="20"/>
                      <w:lang w:val="en-US"/>
                    </w:rPr>
                    <w:t>,</w:t>
                  </w:r>
                  <w:r w:rsidRPr="00E00DB3">
                    <w:rPr>
                      <w:sz w:val="20"/>
                      <w:szCs w:val="20"/>
                    </w:rPr>
                    <w:t>0 % - 15,6 %</w:t>
                  </w:r>
                </w:p>
              </w:tc>
            </w:tr>
            <w:tr w:rsidR="00F40200" w:rsidTr="00283732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Pr="00E00DB3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E00DB3">
                    <w:rPr>
                      <w:sz w:val="20"/>
                      <w:szCs w:val="20"/>
                    </w:rPr>
                    <w:t>10,8 %  - 15,0 %</w:t>
                  </w:r>
                </w:p>
              </w:tc>
            </w:tr>
            <w:tr w:rsidR="00F40200" w:rsidTr="00283732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Pr="00E00DB3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E00DB3">
                    <w:rPr>
                      <w:sz w:val="20"/>
                      <w:szCs w:val="20"/>
                    </w:rPr>
                    <w:t>10,3 % - 14,6 %</w:t>
                  </w:r>
                </w:p>
              </w:tc>
            </w:tr>
          </w:tbl>
          <w:p w:rsidR="00F40200" w:rsidRDefault="00F40200" w:rsidP="00283732">
            <w:pPr>
              <w:jc w:val="both"/>
              <w:rPr>
                <w:sz w:val="24"/>
                <w:szCs w:val="24"/>
              </w:rPr>
            </w:pP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Периодичность платежей заемщика при возврате жилищного кредита, уплате процентов и иных платежей по кредиту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 xml:space="preserve">Ежемесячно </w:t>
            </w:r>
            <w:proofErr w:type="spellStart"/>
            <w:r>
              <w:rPr>
                <w:sz w:val="20"/>
                <w:szCs w:val="20"/>
              </w:rPr>
              <w:t>аннуитетными</w:t>
            </w:r>
            <w:proofErr w:type="spellEnd"/>
            <w:r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возврата заемщиком жилищного кредита, уплаты процентов по нему, включая бесплатный способ исполнения заемщиком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обязательств по договору жилищного кредита. </w:t>
            </w:r>
          </w:p>
          <w:p w:rsidR="00F40200" w:rsidRDefault="00F40200" w:rsidP="00283732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lastRenderedPageBreak/>
              <w:t>Исполнение заемщиком обязательств по кредитному договору может осуществляться следующими способами: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наличных денежных средств на Счет кредитования в Офисе Банка – бесплатный способ;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перечисление денежных средств с иного счета заемщика, открытого в Банке на Счет кредитования – </w:t>
            </w:r>
            <w:r>
              <w:rPr>
                <w:sz w:val="20"/>
                <w:szCs w:val="20"/>
              </w:rPr>
              <w:lastRenderedPageBreak/>
              <w:t>бесплатный способ;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>
              <w:rPr>
                <w:sz w:val="20"/>
                <w:szCs w:val="20"/>
              </w:rPr>
              <w:t>дств в к</w:t>
            </w:r>
            <w:proofErr w:type="gramEnd"/>
            <w:r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терминалы самообслуживания, в которых установлен платежный сервис QIWI;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с помощью Платежной системы </w:t>
            </w:r>
            <w:r>
              <w:rPr>
                <w:sz w:val="20"/>
                <w:szCs w:val="20"/>
                <w:lang w:val="en-US"/>
              </w:rPr>
              <w:t>CONTACT</w:t>
            </w:r>
            <w:r>
              <w:rPr>
                <w:sz w:val="20"/>
                <w:szCs w:val="20"/>
              </w:rPr>
              <w:t>.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>
              <w:rPr>
                <w:sz w:val="20"/>
                <w:szCs w:val="20"/>
              </w:rPr>
              <w:t>истечения</w:t>
            </w:r>
            <w:proofErr w:type="gramEnd"/>
            <w:r>
              <w:rPr>
                <w:sz w:val="20"/>
                <w:szCs w:val="20"/>
              </w:rPr>
              <w:t xml:space="preserve"> установленного договором жилищного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F40200" w:rsidTr="00283732">
        <w:trPr>
          <w:trHeight w:val="1984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жилищного кредита. </w:t>
            </w:r>
          </w:p>
          <w:p w:rsidR="00F40200" w:rsidRDefault="00F40200" w:rsidP="00283732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42"/>
              <w:gridCol w:w="5796"/>
            </w:tblGrid>
            <w:tr w:rsidR="00F40200" w:rsidTr="00283732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9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Обеспечение</w:t>
                  </w:r>
                </w:p>
              </w:tc>
            </w:tr>
            <w:tr w:rsidR="00F40200" w:rsidTr="00283732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297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Pr="006104FC" w:rsidRDefault="00F40200" w:rsidP="00283732">
                  <w:pPr>
                    <w:spacing w:after="0" w:line="240" w:lineRule="auto"/>
                    <w:ind w:right="-249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04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Залог приобретаемого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Объекта </w:t>
                  </w:r>
                  <w:r w:rsidRPr="006104F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недвижимого имущества. </w:t>
                  </w:r>
                </w:p>
                <w:p w:rsidR="00F40200" w:rsidRPr="006104FC" w:rsidRDefault="00F40200" w:rsidP="002837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04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Возможно дополнительное обеспечение в виде залога иного имущества, отличного от приобретаемого, и/или поручительства;</w:t>
                  </w:r>
                </w:p>
              </w:tc>
            </w:tr>
            <w:tr w:rsidR="00F40200" w:rsidTr="00283732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F40200" w:rsidTr="00283732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F40200" w:rsidTr="00283732">
              <w:trPr>
                <w:trHeight w:val="2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0200" w:rsidRDefault="00F40200" w:rsidP="00283732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40200" w:rsidRDefault="00F40200" w:rsidP="00283732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40200" w:rsidTr="00283732">
        <w:trPr>
          <w:trHeight w:val="1473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жилищного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proofErr w:type="gramStart"/>
            <w:r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ключевой </w:t>
            </w:r>
            <w:hyperlink r:id="rId11" w:history="1">
              <w:r w:rsidRPr="0051599E">
                <w:rPr>
                  <w:sz w:val="20"/>
                  <w:szCs w:val="20"/>
                </w:rPr>
                <w:t>ставки</w:t>
              </w:r>
            </w:hyperlink>
            <w:r>
              <w:rPr>
                <w:sz w:val="20"/>
                <w:szCs w:val="20"/>
              </w:rPr>
              <w:t xml:space="preserve"> Центрального банка Российской Федерации, действовавшей на день заключения соответствующего договора,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жилищного кредита, по дату погашения просроченной задолженности по основному долгу (включительно).</w:t>
            </w:r>
            <w:proofErr w:type="gramEnd"/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жилищного кредита, а также информация о возможности заемщика согласиться с заключением таких договоров и (или) оказанием таких услуг либо отказаться от них.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F40200" w:rsidRDefault="00F40200" w:rsidP="00283732">
            <w:pPr>
              <w:pStyle w:val="a3"/>
              <w:jc w:val="both"/>
            </w:pP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Информация: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</w:p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F40200" w:rsidTr="002837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200" w:rsidRDefault="00F40200" w:rsidP="002837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жилищного кредита, может отличаться от валюты потребительского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жилищного кредита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Pr="00A537D5" w:rsidRDefault="00F40200" w:rsidP="002837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537D5">
              <w:rPr>
                <w:sz w:val="20"/>
                <w:szCs w:val="20"/>
              </w:rPr>
              <w:t xml:space="preserve">По жилищным кредитам, заемщиком </w:t>
            </w:r>
            <w:proofErr w:type="gramStart"/>
            <w:r w:rsidRPr="00A537D5">
              <w:rPr>
                <w:sz w:val="20"/>
                <w:szCs w:val="20"/>
              </w:rPr>
              <w:t>предоставляются документы</w:t>
            </w:r>
            <w:proofErr w:type="gramEnd"/>
            <w:r w:rsidRPr="00A537D5">
              <w:rPr>
                <w:sz w:val="20"/>
                <w:szCs w:val="20"/>
              </w:rPr>
              <w:t>, подтверждающие их целевое использование.</w:t>
            </w:r>
          </w:p>
          <w:p w:rsidR="00F40200" w:rsidRPr="00A537D5" w:rsidRDefault="00F40200" w:rsidP="00283732">
            <w:pPr>
              <w:pStyle w:val="a3"/>
              <w:spacing w:before="0" w:beforeAutospacing="0" w:after="0" w:afterAutospacing="0"/>
              <w:jc w:val="both"/>
            </w:pPr>
            <w:r w:rsidRPr="00A537D5">
              <w:rPr>
                <w:sz w:val="20"/>
                <w:szCs w:val="20"/>
              </w:rPr>
              <w:t>По жилищным кредитам на «Рефинансирование ипотеки»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Споры по договору жилищного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жилищного кредита.</w:t>
            </w:r>
          </w:p>
        </w:tc>
      </w:tr>
      <w:tr w:rsidR="00F40200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Общие условия договора жилищного кредита размещены: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F40200" w:rsidRDefault="00F40200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12" w:history="1">
              <w:r>
                <w:rPr>
                  <w:rStyle w:val="a4"/>
                  <w:rFonts w:eastAsiaTheme="minorEastAsia"/>
                  <w:sz w:val="20"/>
                  <w:szCs w:val="20"/>
                </w:rPr>
                <w:t>http://bnal.ru</w:t>
              </w:r>
            </w:hyperlink>
          </w:p>
        </w:tc>
      </w:tr>
    </w:tbl>
    <w:p w:rsidR="00283487" w:rsidRPr="00283487" w:rsidRDefault="00283487" w:rsidP="00F40200">
      <w:pPr>
        <w:pStyle w:val="a3"/>
        <w:spacing w:before="0" w:beforeAutospacing="0" w:after="0" w:afterAutospacing="0"/>
      </w:pPr>
      <w:bookmarkStart w:id="0" w:name="_Раздел_2._Перечень"/>
      <w:bookmarkStart w:id="1" w:name="_Раздел_2._Перечень_1"/>
      <w:bookmarkStart w:id="2" w:name="_Приложение_1.4"/>
      <w:bookmarkStart w:id="3" w:name="_GoBack"/>
      <w:bookmarkEnd w:id="0"/>
      <w:bookmarkEnd w:id="1"/>
      <w:bookmarkEnd w:id="2"/>
      <w:bookmarkEnd w:id="3"/>
    </w:p>
    <w:sectPr w:rsidR="00283487" w:rsidRPr="00283487" w:rsidSect="00F40200">
      <w:footerReference w:type="default" r:id="rId13"/>
      <w:footerReference w:type="first" r:id="rId14"/>
      <w:pgSz w:w="16838" w:h="11906" w:orient="landscape"/>
      <w:pgMar w:top="993" w:right="567" w:bottom="566" w:left="1276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84" w:rsidRDefault="00900D84">
      <w:pPr>
        <w:spacing w:after="0" w:line="240" w:lineRule="auto"/>
      </w:pPr>
      <w:r>
        <w:separator/>
      </w:r>
    </w:p>
  </w:endnote>
  <w:endnote w:type="continuationSeparator" w:id="0">
    <w:p w:rsidR="00900D84" w:rsidRDefault="0090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337"/>
      <w:docPartObj>
        <w:docPartGallery w:val="Page Numbers (Bottom of Page)"/>
        <w:docPartUnique/>
      </w:docPartObj>
    </w:sdtPr>
    <w:sdtEndPr/>
    <w:sdtContent>
      <w:p w:rsidR="002712C8" w:rsidRDefault="00900D84">
        <w:pPr>
          <w:pStyle w:val="a5"/>
          <w:jc w:val="right"/>
        </w:pPr>
      </w:p>
    </w:sdtContent>
  </w:sdt>
  <w:p w:rsidR="002712C8" w:rsidRDefault="00900D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C8" w:rsidRDefault="00900D84">
    <w:pPr>
      <w:pStyle w:val="a5"/>
    </w:pPr>
  </w:p>
  <w:p w:rsidR="002712C8" w:rsidRDefault="00900D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84" w:rsidRDefault="00900D84">
      <w:pPr>
        <w:spacing w:after="0" w:line="240" w:lineRule="auto"/>
      </w:pPr>
      <w:r>
        <w:separator/>
      </w:r>
    </w:p>
  </w:footnote>
  <w:footnote w:type="continuationSeparator" w:id="0">
    <w:p w:rsidR="00900D84" w:rsidRDefault="0090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45"/>
    <w:rsid w:val="00237A4E"/>
    <w:rsid w:val="00283487"/>
    <w:rsid w:val="003A7E45"/>
    <w:rsid w:val="00442A63"/>
    <w:rsid w:val="00526B43"/>
    <w:rsid w:val="0053540F"/>
    <w:rsid w:val="006D5CAF"/>
    <w:rsid w:val="00900D84"/>
    <w:rsid w:val="00CD0DCD"/>
    <w:rsid w:val="00F40200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4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26B43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B43"/>
    <w:rPr>
      <w:rFonts w:ascii="Times New Roman" w:eastAsia="Times New Roman" w:hAnsi="Times New Roman"/>
      <w:sz w:val="24"/>
      <w:lang w:eastAsia="ar-SA"/>
    </w:rPr>
  </w:style>
  <w:style w:type="paragraph" w:styleId="a3">
    <w:name w:val="Normal (Web)"/>
    <w:basedOn w:val="a"/>
    <w:uiPriority w:val="99"/>
    <w:unhideWhenUsed/>
    <w:rsid w:val="0052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526B4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52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B43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B43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7A4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4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26B43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B43"/>
    <w:rPr>
      <w:rFonts w:ascii="Times New Roman" w:eastAsia="Times New Roman" w:hAnsi="Times New Roman"/>
      <w:sz w:val="24"/>
      <w:lang w:eastAsia="ar-SA"/>
    </w:rPr>
  </w:style>
  <w:style w:type="paragraph" w:styleId="a3">
    <w:name w:val="Normal (Web)"/>
    <w:basedOn w:val="a"/>
    <w:uiPriority w:val="99"/>
    <w:unhideWhenUsed/>
    <w:rsid w:val="0052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526B4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52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B43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B43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7A4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na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nal.ru/?phpMyAdmin=c51c48cd1562t66904b7fr1a9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1182-E1C0-4124-81F0-970CEBF3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БН-30</dc:creator>
  <cp:lastModifiedBy>Эндреева Джамиля Борисовна</cp:lastModifiedBy>
  <cp:revision>2</cp:revision>
  <cp:lastPrinted>2022-03-15T12:39:00Z</cp:lastPrinted>
  <dcterms:created xsi:type="dcterms:W3CDTF">2022-06-15T11:36:00Z</dcterms:created>
  <dcterms:modified xsi:type="dcterms:W3CDTF">2022-06-15T11:36:00Z</dcterms:modified>
</cp:coreProperties>
</file>