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CE" w:rsidRDefault="005E1ACE" w:rsidP="005E1ACE">
      <w:pPr>
        <w:pStyle w:val="1"/>
        <w:rPr>
          <w:b/>
          <w:bCs/>
        </w:rPr>
      </w:pPr>
      <w:r w:rsidRPr="006105BE">
        <w:rPr>
          <w:noProof/>
          <w:sz w:val="22"/>
          <w:szCs w:val="22"/>
          <w:lang w:eastAsia="ru-RU"/>
        </w:rPr>
        <w:drawing>
          <wp:inline distT="0" distB="0" distL="0" distR="0" wp14:anchorId="7A034435" wp14:editId="6A5C99D7">
            <wp:extent cx="257175" cy="230385"/>
            <wp:effectExtent l="0" t="0" r="0" b="0"/>
            <wp:docPr id="5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" cy="2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5BE">
        <w:rPr>
          <w:b/>
          <w:sz w:val="22"/>
          <w:szCs w:val="22"/>
        </w:rPr>
        <w:t>Банк «Нальчик» ООО</w:t>
      </w:r>
      <w:r>
        <w:rPr>
          <w:b/>
          <w:sz w:val="22"/>
          <w:szCs w:val="22"/>
        </w:rPr>
        <w:t xml:space="preserve">                                              </w:t>
      </w:r>
      <w:bookmarkStart w:id="0" w:name="_GoBack"/>
      <w:r>
        <w:rPr>
          <w:b/>
          <w:sz w:val="22"/>
          <w:szCs w:val="22"/>
        </w:rPr>
        <w:t xml:space="preserve"> </w:t>
      </w:r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(Действует с 15.06.2022)</w:t>
      </w:r>
    </w:p>
    <w:p w:rsidR="005E1ACE" w:rsidRPr="00D454D3" w:rsidRDefault="005E1ACE" w:rsidP="005E1ACE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D3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D454D3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5B6995">
        <w:rPr>
          <w:rFonts w:ascii="Times New Roman" w:hAnsi="Times New Roman" w:cs="Times New Roman"/>
          <w:b/>
          <w:sz w:val="24"/>
          <w:szCs w:val="24"/>
        </w:rPr>
        <w:t xml:space="preserve"> кредитам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D3">
        <w:rPr>
          <w:rFonts w:ascii="Times New Roman" w:hAnsi="Times New Roman" w:cs="Times New Roman"/>
          <w:b/>
          <w:sz w:val="24"/>
          <w:szCs w:val="24"/>
        </w:rPr>
        <w:t>в Банке «Нальчик» ООО</w:t>
      </w:r>
    </w:p>
    <w:tbl>
      <w:tblPr>
        <w:tblW w:w="148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</w:pPr>
            <w: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5E1ACE" w:rsidTr="00283732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5E1ACE" w:rsidTr="00283732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7A7454">
                    <w:rPr>
                      <w:color w:val="000000"/>
                      <w:sz w:val="20"/>
                      <w:szCs w:val="20"/>
                    </w:rPr>
                    <w:t>360022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КБР, г. Нальчик, ул. Толстого, д. 77.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10" w:history="1">
                    <w:r>
                      <w:rPr>
                        <w:rStyle w:val="a4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5E1ACE" w:rsidTr="00283732">
        <w:trPr>
          <w:trHeight w:val="869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5E1ACE" w:rsidTr="00283732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5E1ACE" w:rsidRDefault="005E1ACE" w:rsidP="00283732">
                  <w:pPr>
                    <w:pStyle w:val="a3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5E1ACE" w:rsidTr="00283732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заявления о предоставлении потребительского кредита и принятия кредитором решения </w:t>
            </w:r>
            <w:r>
              <w:rPr>
                <w:color w:val="000000"/>
                <w:sz w:val="20"/>
                <w:szCs w:val="20"/>
              </w:rPr>
              <w:lastRenderedPageBreak/>
              <w:t>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</w:t>
            </w:r>
            <w:r>
              <w:rPr>
                <w:color w:val="000000"/>
                <w:sz w:val="20"/>
                <w:szCs w:val="20"/>
              </w:rPr>
              <w:lastRenderedPageBreak/>
              <w:t>документов.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5E1ACE" w:rsidRDefault="005E1ACE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5E1ACE" w:rsidRDefault="005E1ACE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5E1ACE" w:rsidRDefault="005E1ACE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5E1ACE" w:rsidRDefault="005E1ACE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5E1ACE" w:rsidRPr="00367B85" w:rsidRDefault="005E1ACE" w:rsidP="0028373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ind w:left="720"/>
              <w:jc w:val="both"/>
            </w:pP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Полный перечень документов приведен в </w:t>
            </w:r>
            <w:proofErr w:type="spellStart"/>
            <w:r>
              <w:rPr>
                <w:color w:val="000000"/>
                <w:sz w:val="20"/>
                <w:szCs w:val="20"/>
              </w:rPr>
              <w:t>Перечене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«Зарплатный»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«Пенсионный»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5E1ACE" w:rsidTr="00283732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4,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3 %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11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 xml:space="preserve"> 8% - 14,6 %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9 % - 16,9 %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 xml:space="preserve">12,3 % - 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3 %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+ 2 %</w:t>
                  </w:r>
                </w:p>
              </w:tc>
            </w:tr>
          </w:tbl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5E1ACE" w:rsidTr="00283732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5E1ACE" w:rsidTr="00283732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% - 18,8 %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% - 16,4 %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</w:rPr>
                    <w:t>13,3 % - 18,4 %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Pr="00E00DB3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E00DB3">
                    <w:rPr>
                      <w:color w:val="000000"/>
                      <w:sz w:val="20"/>
                      <w:szCs w:val="20"/>
                      <w:lang w:val="en-US"/>
                    </w:rPr>
                    <w:t>,7</w:t>
                  </w:r>
                  <w:r w:rsidRPr="00E00DB3">
                    <w:rPr>
                      <w:color w:val="000000"/>
                      <w:sz w:val="20"/>
                      <w:szCs w:val="20"/>
                    </w:rPr>
                    <w:t xml:space="preserve"> % - 17,0 %</w:t>
                  </w: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5E1ACE" w:rsidRDefault="005E1ACE" w:rsidP="00283732">
            <w:pPr>
              <w:pStyle w:val="a3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Исполнение заемщиком обязательств по кредитному договору может осуществляться следующими способами: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>
              <w:rPr>
                <w:sz w:val="20"/>
                <w:szCs w:val="20"/>
              </w:rPr>
              <w:t>а–</w:t>
            </w:r>
            <w:proofErr w:type="gramEnd"/>
            <w:r>
              <w:rPr>
                <w:sz w:val="20"/>
                <w:szCs w:val="20"/>
              </w:rPr>
              <w:t xml:space="preserve"> бесплатный способ;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lastRenderedPageBreak/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CONTACT</w:t>
            </w:r>
            <w:r>
              <w:rPr>
                <w:sz w:val="20"/>
                <w:szCs w:val="20"/>
              </w:rPr>
              <w:t>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5E1ACE" w:rsidRDefault="005E1ACE" w:rsidP="00283732">
            <w:pPr>
              <w:pStyle w:val="a3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5E1ACE" w:rsidTr="00283732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E1ACE" w:rsidTr="00283732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pStyle w:val="a3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1ACE" w:rsidRDefault="005E1ACE" w:rsidP="0028373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</w:tr>
      <w:tr w:rsidR="005E1ACE" w:rsidTr="00283732">
        <w:trPr>
          <w:trHeight w:val="3562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>
              <w:rPr>
                <w:sz w:val="20"/>
                <w:szCs w:val="20"/>
              </w:rPr>
              <w:t>годовых</w:t>
            </w:r>
            <w:proofErr w:type="gramEnd"/>
            <w:r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b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5E1ACE" w:rsidRPr="00113FF0" w:rsidTr="00283732">
              <w:tc>
                <w:tcPr>
                  <w:tcW w:w="3362" w:type="dxa"/>
                </w:tcPr>
                <w:p w:rsidR="005E1ACE" w:rsidRPr="00113FF0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13FF0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5E1ACE" w:rsidRPr="00113FF0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5E1ACE" w:rsidRPr="00113FF0" w:rsidTr="00283732">
              <w:tc>
                <w:tcPr>
                  <w:tcW w:w="3362" w:type="dxa"/>
                </w:tcPr>
                <w:p w:rsidR="005E1ACE" w:rsidRPr="00113FF0" w:rsidRDefault="005E1ACE" w:rsidP="00283732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5E1ACE" w:rsidRPr="00E4440D" w:rsidRDefault="005E1ACE" w:rsidP="002837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11" w:history="1">
                    <w:r w:rsidRPr="0051599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5E1ACE" w:rsidRDefault="005E1ACE" w:rsidP="00283732">
            <w:pPr>
              <w:pStyle w:val="a3"/>
              <w:jc w:val="both"/>
            </w:pPr>
          </w:p>
          <w:p w:rsidR="005E1ACE" w:rsidRDefault="005E1ACE" w:rsidP="00283732">
            <w:pPr>
              <w:pStyle w:val="a3"/>
              <w:jc w:val="both"/>
            </w:pP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</w:p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5E1ACE" w:rsidTr="002837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ACE" w:rsidRDefault="005E1ACE" w:rsidP="00283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5E1ACE" w:rsidTr="00283732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5E1ACE" w:rsidRDefault="005E1ACE" w:rsidP="002837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12" w:history="1">
              <w:r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</w:tbl>
    <w:p w:rsidR="005E1ACE" w:rsidRPr="0093114C" w:rsidRDefault="005E1ACE" w:rsidP="005E1ACE">
      <w:pPr>
        <w:pStyle w:val="Default"/>
      </w:pPr>
    </w:p>
    <w:p w:rsidR="005E1ACE" w:rsidRDefault="005E1ACE" w:rsidP="005E1ACE">
      <w:pPr>
        <w:spacing w:after="0" w:line="240" w:lineRule="auto"/>
        <w:rPr>
          <w:b/>
          <w:bCs/>
        </w:rPr>
      </w:pPr>
    </w:p>
    <w:sectPr w:rsidR="005E1ACE" w:rsidSect="005E1ACE">
      <w:pgSz w:w="16838" w:h="11906" w:orient="landscape"/>
      <w:pgMar w:top="993" w:right="567" w:bottom="566" w:left="1276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7F" w:rsidRDefault="00CC6F7F">
      <w:pPr>
        <w:spacing w:after="0" w:line="240" w:lineRule="auto"/>
      </w:pPr>
      <w:r>
        <w:separator/>
      </w:r>
    </w:p>
  </w:endnote>
  <w:endnote w:type="continuationSeparator" w:id="0">
    <w:p w:rsidR="00CC6F7F" w:rsidRDefault="00CC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7F" w:rsidRDefault="00CC6F7F">
      <w:pPr>
        <w:spacing w:after="0" w:line="240" w:lineRule="auto"/>
      </w:pPr>
      <w:r>
        <w:separator/>
      </w:r>
    </w:p>
  </w:footnote>
  <w:footnote w:type="continuationSeparator" w:id="0">
    <w:p w:rsidR="00CC6F7F" w:rsidRDefault="00CC6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5"/>
    <w:rsid w:val="00237A4E"/>
    <w:rsid w:val="00283487"/>
    <w:rsid w:val="003A7E45"/>
    <w:rsid w:val="00442A63"/>
    <w:rsid w:val="00526B43"/>
    <w:rsid w:val="0053540F"/>
    <w:rsid w:val="005E1ACE"/>
    <w:rsid w:val="006D5CAF"/>
    <w:rsid w:val="00CC6F7F"/>
    <w:rsid w:val="00CD0DCD"/>
    <w:rsid w:val="00FB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4E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5E1AC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1AC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4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26B43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B43"/>
    <w:rPr>
      <w:rFonts w:ascii="Times New Roman" w:eastAsia="Times New Roman" w:hAnsi="Times New Roman"/>
      <w:sz w:val="24"/>
      <w:lang w:eastAsia="ar-SA"/>
    </w:rPr>
  </w:style>
  <w:style w:type="paragraph" w:styleId="a3">
    <w:name w:val="Normal (Web)"/>
    <w:basedOn w:val="a"/>
    <w:uiPriority w:val="99"/>
    <w:unhideWhenUsed/>
    <w:rsid w:val="0052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526B4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52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B43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B43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7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7A4E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5E1AC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1AC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n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nal.ru/?phpMyAdmin=c51c48cd1562t66904b7fr1a9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8275-F7A0-49B5-86D8-195D2D1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БН-30</dc:creator>
  <cp:lastModifiedBy>Эндреева Джамиля Борисовна</cp:lastModifiedBy>
  <cp:revision>2</cp:revision>
  <cp:lastPrinted>2022-03-15T12:39:00Z</cp:lastPrinted>
  <dcterms:created xsi:type="dcterms:W3CDTF">2022-06-15T11:40:00Z</dcterms:created>
  <dcterms:modified xsi:type="dcterms:W3CDTF">2022-06-15T11:40:00Z</dcterms:modified>
</cp:coreProperties>
</file>