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14" w:rsidRPr="002D457F" w:rsidRDefault="00BB1C14" w:rsidP="00BB1C1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10737B2A" wp14:editId="3948B0BB">
            <wp:extent cx="276225" cy="247650"/>
            <wp:effectExtent l="0" t="0" r="9525" b="0"/>
            <wp:docPr id="20" name="Рисунок 20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0B">
        <w:rPr>
          <w:rFonts w:ascii="Times New Roman" w:eastAsia="Times New Roman" w:hAnsi="Times New Roman" w:cs="Times New Roman"/>
          <w:b/>
        </w:rPr>
        <w:t>Банк «Нальчик» ООО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B1C14" w:rsidRPr="004732E2" w:rsidRDefault="00BB1C14" w:rsidP="00BB1C14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 в Банке «Нальчик» ООО</w:t>
      </w:r>
    </w:p>
    <w:p w:rsidR="006E50E6" w:rsidRPr="006E50E6" w:rsidRDefault="006E50E6" w:rsidP="00BB1C14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473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E50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732E2">
        <w:rPr>
          <w:rFonts w:ascii="Times New Roman" w:hAnsi="Times New Roman" w:cs="Times New Roman"/>
          <w:sz w:val="24"/>
          <w:szCs w:val="24"/>
        </w:rPr>
        <w:t xml:space="preserve"> </w:t>
      </w:r>
      <w:r w:rsidRPr="006E50E6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6E50E6">
        <w:rPr>
          <w:rFonts w:ascii="Times New Roman" w:hAnsi="Times New Roman" w:cs="Times New Roman"/>
          <w:sz w:val="20"/>
          <w:szCs w:val="20"/>
        </w:rPr>
        <w:t>Действует с 10.11.2023</w:t>
      </w:r>
      <w:r w:rsidRPr="006E50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8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BB1C14" w:rsidRPr="00BA632A" w:rsidTr="009014B0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BB1C14" w:rsidRPr="00BA632A" w:rsidTr="009014B0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9" w:history="1">
                    <w:r w:rsidRPr="00BA632A">
                      <w:rPr>
                        <w:rStyle w:val="a5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</w:tr>
      <w:tr w:rsidR="00BB1C14" w:rsidRPr="00BA632A" w:rsidTr="009014B0">
        <w:trPr>
          <w:trHeight w:val="869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BB1C14" w:rsidRPr="00BA632A" w:rsidTr="009014B0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BB1C14" w:rsidRPr="00BA632A" w:rsidRDefault="00BB1C14" w:rsidP="009014B0">
                  <w:pPr>
                    <w:pStyle w:val="a4"/>
                    <w:spacing w:line="105" w:lineRule="atLeast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BB1C14" w:rsidRPr="00BA632A" w:rsidTr="009014B0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документов.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BB1C14" w:rsidRPr="00BA632A" w:rsidRDefault="00BB1C14" w:rsidP="00BB1C1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BB1C14" w:rsidRPr="00BA632A" w:rsidRDefault="00BB1C14" w:rsidP="00BB1C1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BB1C14" w:rsidRPr="00BA632A" w:rsidRDefault="00BB1C14" w:rsidP="00BB1C1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BB1C14" w:rsidRPr="00BA632A" w:rsidRDefault="00BB1C14" w:rsidP="00BB1C1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BB1C14" w:rsidRPr="00BA632A" w:rsidRDefault="00BB1C14" w:rsidP="00BB1C14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заемщика.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ind w:left="720"/>
              <w:jc w:val="both"/>
            </w:pP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«Зарплатный»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«Пенсионный»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Default="00BB1C14" w:rsidP="009014B0">
            <w:pPr>
              <w:pStyle w:val="a4"/>
              <w:jc w:val="both"/>
              <w:rPr>
                <w:sz w:val="20"/>
                <w:szCs w:val="20"/>
              </w:rPr>
            </w:pPr>
          </w:p>
          <w:p w:rsidR="00BB1C14" w:rsidRDefault="00BB1C14" w:rsidP="009014B0">
            <w:pPr>
              <w:pStyle w:val="a4"/>
              <w:jc w:val="both"/>
              <w:rPr>
                <w:sz w:val="20"/>
                <w:szCs w:val="20"/>
              </w:rPr>
            </w:pPr>
          </w:p>
          <w:p w:rsidR="00BB1C14" w:rsidRDefault="00BB1C14" w:rsidP="009014B0">
            <w:pPr>
              <w:pStyle w:val="a4"/>
              <w:jc w:val="both"/>
              <w:rPr>
                <w:sz w:val="20"/>
                <w:szCs w:val="20"/>
              </w:rPr>
            </w:pPr>
          </w:p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Default="00BB1C14" w:rsidP="009014B0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  <w:p w:rsidR="00BB1C14" w:rsidRDefault="00BB1C14" w:rsidP="009014B0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  <w:p w:rsidR="00BB1C14" w:rsidRDefault="00BB1C14" w:rsidP="009014B0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  <w:p w:rsidR="00BB1C14" w:rsidRDefault="00BB1C14" w:rsidP="009014B0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Default="00BB1C14" w:rsidP="009014B0"/>
          <w:p w:rsidR="00BB1C14" w:rsidRDefault="00BB1C14" w:rsidP="009014B0"/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BB1C14" w:rsidRPr="00BA632A" w:rsidTr="009014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17,9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22,8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0% - 20,4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2 % - 21,8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20,6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+ 2 %</w:t>
                  </w:r>
                </w:p>
              </w:tc>
            </w:tr>
          </w:tbl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BB1C14" w:rsidRPr="00BA632A" w:rsidTr="009014B0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BB1C14" w:rsidRPr="00BA632A" w:rsidTr="009014B0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7,5% - 24,3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15,5% - 21,9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16,8 % - 23,3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15,7 % - 22,1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Периодичность платежей заемщика при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возврате потребительского кредита, уплате процентов и иных платежей по кредиту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</w:t>
            </w:r>
            <w:r w:rsidRPr="00BA632A">
              <w:rPr>
                <w:sz w:val="20"/>
                <w:szCs w:val="20"/>
              </w:rPr>
              <w:lastRenderedPageBreak/>
              <w:t>индивидуальными условиями договора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BB1C14" w:rsidRPr="00BA632A" w:rsidRDefault="00BB1C14" w:rsidP="009014B0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 w:rsidRPr="00BA632A">
              <w:rPr>
                <w:sz w:val="20"/>
                <w:szCs w:val="20"/>
              </w:rPr>
              <w:t>а–</w:t>
            </w:r>
            <w:proofErr w:type="gramEnd"/>
            <w:r w:rsidRPr="00BA632A">
              <w:rPr>
                <w:sz w:val="20"/>
                <w:szCs w:val="20"/>
              </w:rPr>
              <w:t xml:space="preserve"> бесплатный способ;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с помощью Платежной системы </w:t>
            </w:r>
            <w:r w:rsidRPr="00BA632A">
              <w:rPr>
                <w:sz w:val="20"/>
                <w:szCs w:val="20"/>
                <w:lang w:val="en-US"/>
              </w:rPr>
              <w:t>CONTACT</w:t>
            </w:r>
            <w:r w:rsidRPr="00BA632A">
              <w:rPr>
                <w:sz w:val="20"/>
                <w:szCs w:val="20"/>
              </w:rPr>
              <w:t>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BB1C14" w:rsidRPr="00BA632A" w:rsidRDefault="00BB1C14" w:rsidP="009014B0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BB1C14" w:rsidRPr="00BA632A" w:rsidTr="009014B0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B1C14" w:rsidRPr="00BA632A" w:rsidTr="009014B0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pStyle w:val="a4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B1C14" w:rsidRPr="00BA632A" w:rsidRDefault="00BB1C14" w:rsidP="009014B0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</w:tr>
      <w:tr w:rsidR="00BB1C14" w:rsidRPr="00BA632A" w:rsidTr="009014B0">
        <w:trPr>
          <w:trHeight w:val="441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 w:rsidRPr="00BA632A">
              <w:rPr>
                <w:sz w:val="20"/>
                <w:szCs w:val="20"/>
              </w:rPr>
              <w:t>годовых</w:t>
            </w:r>
            <w:proofErr w:type="gramEnd"/>
            <w:r w:rsidRPr="00BA632A"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BB1C14" w:rsidRPr="00BA632A" w:rsidTr="009014B0">
              <w:tc>
                <w:tcPr>
                  <w:tcW w:w="3362" w:type="dxa"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t xml:space="preserve">по договорам потребительского </w:t>
                  </w:r>
                  <w:r w:rsidRPr="00BA632A">
                    <w:rPr>
                      <w:sz w:val="20"/>
                      <w:szCs w:val="20"/>
                    </w:rPr>
                    <w:lastRenderedPageBreak/>
                    <w:t xml:space="preserve">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lastRenderedPageBreak/>
                    <w:t xml:space="preserve">в размере 10% </w:t>
                  </w:r>
                  <w:proofErr w:type="gramStart"/>
                  <w:r w:rsidRPr="00BA632A"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 w:rsidRPr="00BA632A">
                    <w:rPr>
                      <w:sz w:val="20"/>
                      <w:szCs w:val="20"/>
                    </w:rPr>
                    <w:t xml:space="preserve"> с суммы просроченного платежа по основному </w:t>
                  </w:r>
                  <w:r w:rsidRPr="00BA632A">
                    <w:rPr>
                      <w:sz w:val="20"/>
                      <w:szCs w:val="20"/>
                    </w:rPr>
                    <w:lastRenderedPageBreak/>
                    <w:t>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BB1C14" w:rsidRPr="00BA632A" w:rsidTr="009014B0">
              <w:tc>
                <w:tcPr>
                  <w:tcW w:w="3362" w:type="dxa"/>
                </w:tcPr>
                <w:p w:rsidR="00BB1C14" w:rsidRPr="00BA632A" w:rsidRDefault="00BB1C14" w:rsidP="009014B0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lastRenderedPageBreak/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BB1C14" w:rsidRPr="00BA632A" w:rsidRDefault="00BB1C14" w:rsidP="009014B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10" w:history="1">
                    <w:r w:rsidRPr="00BA632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BB1C14" w:rsidRPr="00BA632A" w:rsidRDefault="00BB1C14" w:rsidP="009014B0">
            <w:pPr>
              <w:pStyle w:val="a4"/>
              <w:jc w:val="both"/>
            </w:pPr>
          </w:p>
          <w:p w:rsidR="00BB1C14" w:rsidRPr="00BA632A" w:rsidRDefault="00BB1C14" w:rsidP="009014B0">
            <w:pPr>
              <w:pStyle w:val="a4"/>
              <w:jc w:val="both"/>
            </w:pP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</w:p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C14" w:rsidRPr="00BA632A" w:rsidRDefault="00BB1C14" w:rsidP="009014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 w:rsidRPr="00BA632A">
              <w:rPr>
                <w:sz w:val="20"/>
                <w:szCs w:val="20"/>
              </w:rPr>
              <w:t>от</w:t>
            </w:r>
            <w:proofErr w:type="gramEnd"/>
            <w:r w:rsidRPr="00BA632A"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BB1C14" w:rsidRPr="00BA632A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BB1C14" w:rsidTr="009014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BB1C14" w:rsidRPr="00BA632A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BB1C14" w:rsidRDefault="00BB1C14" w:rsidP="009014B0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11" w:history="1">
              <w:r w:rsidRPr="00BA632A">
                <w:rPr>
                  <w:rStyle w:val="a5"/>
                  <w:sz w:val="20"/>
                  <w:szCs w:val="20"/>
                </w:rPr>
                <w:t>http://bnal.ru</w:t>
              </w:r>
            </w:hyperlink>
          </w:p>
        </w:tc>
      </w:tr>
    </w:tbl>
    <w:p w:rsidR="00BB1C14" w:rsidRPr="0093114C" w:rsidRDefault="00BB1C14" w:rsidP="004732E2">
      <w:pPr>
        <w:pStyle w:val="Default"/>
      </w:pPr>
      <w:bookmarkStart w:id="0" w:name="_GoBack"/>
      <w:bookmarkEnd w:id="0"/>
    </w:p>
    <w:sectPr w:rsidR="00BB1C14" w:rsidRPr="0093114C" w:rsidSect="006E50E6">
      <w:footerReference w:type="default" r:id="rId12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E56" w:rsidRDefault="00A12E56">
      <w:pPr>
        <w:spacing w:after="0" w:line="240" w:lineRule="auto"/>
      </w:pPr>
      <w:r>
        <w:separator/>
      </w:r>
    </w:p>
  </w:endnote>
  <w:endnote w:type="continuationSeparator" w:id="0">
    <w:p w:rsidR="00A12E56" w:rsidRDefault="00A1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9338"/>
      <w:docPartObj>
        <w:docPartGallery w:val="Page Numbers (Bottom of Page)"/>
        <w:docPartUnique/>
      </w:docPartObj>
    </w:sdtPr>
    <w:sdtEndPr/>
    <w:sdtContent>
      <w:p w:rsidR="002A46B1" w:rsidRDefault="00A12E56">
        <w:pPr>
          <w:pStyle w:val="a6"/>
          <w:jc w:val="right"/>
        </w:pPr>
      </w:p>
    </w:sdtContent>
  </w:sdt>
  <w:p w:rsidR="002A46B1" w:rsidRDefault="00A12E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E56" w:rsidRDefault="00A12E56">
      <w:pPr>
        <w:spacing w:after="0" w:line="240" w:lineRule="auto"/>
      </w:pPr>
      <w:r>
        <w:separator/>
      </w:r>
    </w:p>
  </w:footnote>
  <w:footnote w:type="continuationSeparator" w:id="0">
    <w:p w:rsidR="00A12E56" w:rsidRDefault="00A1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11"/>
    <w:rsid w:val="000639FC"/>
    <w:rsid w:val="00373B11"/>
    <w:rsid w:val="004732E2"/>
    <w:rsid w:val="005B731E"/>
    <w:rsid w:val="006E50E6"/>
    <w:rsid w:val="00A12E56"/>
    <w:rsid w:val="00BB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1C1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C1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BB1C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BB1C1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BB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C14"/>
    <w:rPr>
      <w:rFonts w:eastAsiaTheme="minorEastAsia"/>
      <w:lang w:eastAsia="ru-RU"/>
    </w:rPr>
  </w:style>
  <w:style w:type="paragraph" w:customStyle="1" w:styleId="Default">
    <w:name w:val="Default"/>
    <w:uiPriority w:val="99"/>
    <w:rsid w:val="00BB1C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C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B1C1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C1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BB1C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BB1C1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BB1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1C14"/>
    <w:rPr>
      <w:rFonts w:eastAsiaTheme="minorEastAsia"/>
      <w:lang w:eastAsia="ru-RU"/>
    </w:rPr>
  </w:style>
  <w:style w:type="paragraph" w:customStyle="1" w:styleId="Default">
    <w:name w:val="Default"/>
    <w:uiPriority w:val="99"/>
    <w:rsid w:val="00BB1C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C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na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nal.ru/?phpMyAdmin=c51c48cd1562t66904b7fr1a9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Керефова Фатима Александровна</dc:creator>
  <cp:lastModifiedBy>Эндреева Джамиля Борисовна</cp:lastModifiedBy>
  <cp:revision>2</cp:revision>
  <dcterms:created xsi:type="dcterms:W3CDTF">2023-11-16T07:04:00Z</dcterms:created>
  <dcterms:modified xsi:type="dcterms:W3CDTF">2023-11-16T07:04:00Z</dcterms:modified>
</cp:coreProperties>
</file>